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NoSpacing"/>
        <w:jc w:val="center"/>
        <w:rPr>
          <w:rFonts w:ascii="Bell MT" w:hAnsi="Bell MT" w:cs="Bell MT"/>
        </w:rPr>
      </w:pPr>
      <w:r>
        <w:rPr>
          <w:rFonts w:ascii="Bell MT" w:hAnsi="Bell MT" w:cs="Bell MT"/>
        </w:rPr>
        <w:t>Achilles Tendinitis Protocol</w:t>
      </w:r>
    </w:p>
    <w:p>
      <w:pPr>
        <w:pStyle w:val="NoSpacing"/>
        <w:jc w:val="center"/>
        <w:rPr>
          <w:rFonts w:ascii="Bell MT" w:hAnsi="Bell MT" w:cs="Bell MT"/>
        </w:rPr>
      </w:pPr>
    </w:p>
    <w:p>
      <w:pPr>
        <w:rPr>
          <w:rFonts w:ascii="Bell MT" w:hAnsi="Bell MT" w:cs="Bell MT"/>
          <w:sz w:val="20"/>
          <w:szCs w:val="20"/>
        </w:rPr>
      </w:pPr>
      <w:r>
        <w:rPr>
          <w:rFonts w:ascii="Bell MT" w:hAnsi="Bell MT" w:cs="Bell MT"/>
          <w:b/>
        </w:rPr>
        <w:t>Diagnosis Overview:</w:t>
      </w:r>
      <w:r>
        <w:rPr>
          <w:rFonts w:ascii="Bell MT" w:hAnsi="Bell MT" w:cs="Bell MT"/>
        </w:rPr>
        <w:t xml:space="preserve"> </w:t>
      </w:r>
      <w:r>
        <w:rPr>
          <w:rFonts w:ascii="Bell MT" w:hAnsi="Bell MT" w:cs="Bell MT"/>
          <w:sz w:val="20"/>
        </w:rPr>
        <w:t>Achilles tendinitis is pain and inflammation involving the tendon on the back of the heel or ankle. Sometimes this is in the middle portion of the tendon, and sometimes this is where the tendon inserts into the heel bone. It is very common for this to build gradually from tightness, overuse, shoe irritation, a heel spur, or a sudden increase in activity. The good news is that this will get better most of the time, but Achilles problems tend to require consistency and patience because the tendon is a high-load structure that we use with every step.</w:t>
      </w:r>
    </w:p>
    <w:p>
      <w:pPr>
        <w:rPr>
          <w:rFonts w:ascii="Bell MT" w:hAnsi="Bell MT" w:cs="Bell MT"/>
          <w:sz w:val="20"/>
          <w:szCs w:val="20"/>
        </w:rPr>
      </w:pPr>
      <w:r>
        <w:rPr>
          <w:rFonts w:ascii="Bell MT" w:hAnsi="Bell MT" w:cs="Bell MT"/>
          <w:b/>
        </w:rPr>
        <w:t>Initial Visit:</w:t>
      </w:r>
      <w:r>
        <w:rPr>
          <w:rFonts w:ascii="Bell MT" w:hAnsi="Bell MT" w:cs="Bell MT"/>
        </w:rPr>
        <w:t xml:space="preserve"> </w:t>
      </w:r>
      <w:r>
        <w:rPr>
          <w:rFonts w:ascii="Bell MT" w:hAnsi="Bell MT" w:cs="Bell MT"/>
          <w:sz w:val="20"/>
        </w:rPr>
        <w:t>Initial treatment depends on severity of pain and whether the pain is more insertional, meaning directly at the heel bone, or more in the tendon above the heel. If pain is significant, if patients are limping, or if there is concern for a partial tear, we may start with walking boot immobilization, usually for 2-3 weeks, to let the pain and inflammation calm down. X-rays are often performed when pain is near the heel bone or there is a painful bump, because this can show a heel spur, calcification, or other bony irritation. If patients can function despite their pain, we are often able to bypass the boot and start with functional treatment. I like to tell people, if we can do 3 things well, symptoms should improve by at least 50% in 1 month, and we are on the right track.</w:t>
      </w:r>
    </w:p>
    <w:p>
      <w:pPr>
        <w:pStyle w:val="ListParagraph"/>
        <w:rPr>
          <w:rFonts w:ascii="Bell MT" w:hAnsi="Bell MT" w:cs="Bell MT"/>
          <w:sz w:val="20"/>
          <w:szCs w:val="20"/>
        </w:rPr>
        <w:numPr>
          <w:ilvl w:val="0"/>
          <w:numId w:val="1"/>
        </w:numPr>
      </w:pPr>
      <w:r>
        <w:rPr>
          <w:rFonts w:ascii="Bell MT" w:hAnsi="Bell MT" w:cs="Bell MT"/>
          <w:b/>
          <w:sz w:val="20"/>
        </w:rPr>
        <w:t>Stretching:</w:t>
      </w:r>
      <w:r>
        <w:rPr>
          <w:rFonts w:ascii="Bell MT" w:hAnsi="Bell MT" w:cs="Bell MT"/>
          <w:sz w:val="20"/>
        </w:rPr>
        <w:t xml:space="preserve"> This is non-negotiable. I like patients to stretch the calf muscles first thing in the morning, and then again in the evening. Stretches should be held for 2 minutes, can be paused for a few seconds as needed for discomfort, and should be done to both ankles. For extra credit, stretches can be repeated for a second round of 2 minutes. The goal is not aggressive painful stretching, but daily controlled tension. Research and real world experience both support that patients who do this daily for a 4-6 week period have the best short and long term results.</w:t>
      </w:r>
    </w:p>
    <w:p>
      <w:pPr>
        <w:pStyle w:val="ListParagraph"/>
        <w:rPr>
          <w:rFonts w:ascii="Bell MT" w:hAnsi="Bell MT" w:cs="Bell MT"/>
          <w:sz w:val="20"/>
          <w:szCs w:val="20"/>
        </w:rPr>
        <w:numPr>
          <w:ilvl w:val="0"/>
          <w:numId w:val="1"/>
        </w:numPr>
      </w:pPr>
      <w:r>
        <w:rPr>
          <w:rFonts w:ascii="Bell MT" w:hAnsi="Bell MT" w:cs="Bell MT"/>
          <w:b/>
          <w:sz w:val="20"/>
        </w:rPr>
        <w:t>Shoes, Heel Lifts, and Inserts:</w:t>
      </w:r>
      <w:r>
        <w:rPr>
          <w:rFonts w:ascii="Bell MT" w:hAnsi="Bell MT" w:cs="Bell MT"/>
          <w:sz w:val="20"/>
        </w:rPr>
        <w:t xml:space="preserve"> Supportive shoes matter. I generally want patients avoiding barefoot walking, flat sandals, and flexible shoes during the painful phase. A small heel lift can reduce tension on the Achilles and often helps symptoms calm down. Orthotics or arch supports can also help when foot mechanics are increasing pull through the tendon. You are not confined to these forever, but they should be used consistently until pain resolves, and more often moving forward if symptoms tend to recur.</w:t>
      </w:r>
    </w:p>
    <w:p>
      <w:pPr>
        <w:pStyle w:val="ListParagraph"/>
        <w:rPr>
          <w:rFonts w:ascii="Bell MT" w:hAnsi="Bell MT" w:cs="Bell MT"/>
          <w:sz w:val="20"/>
          <w:szCs w:val="20"/>
        </w:rPr>
        <w:numPr>
          <w:ilvl w:val="0"/>
          <w:numId w:val="1"/>
        </w:numPr>
      </w:pPr>
      <w:r>
        <w:rPr>
          <w:rFonts w:ascii="Bell MT" w:hAnsi="Bell MT" w:cs="Bell MT"/>
          <w:b/>
          <w:sz w:val="20"/>
        </w:rPr>
        <w:t>Anti-inflammatories and Activity Modification:</w:t>
      </w:r>
      <w:r>
        <w:rPr>
          <w:rFonts w:ascii="Bell MT" w:hAnsi="Bell MT" w:cs="Bell MT"/>
          <w:sz w:val="20"/>
        </w:rPr>
        <w:t xml:space="preserve"> Depending on pain we may start with an oral or topical anti-inflammatory, or both, as long as no contra-indications apply. Heat can be helpful before stretching or activity, usually 10-15 minutes. Ice is useful after activity, again 10-15 minutes. During the painful phase, avoid hill running, sprinting, jumping, calf raises, aggressive lower body workouts, and activities that repeatedly load the tendon until symptoms are clearly improving.</w:t>
      </w:r>
    </w:p>
    <w:p>
      <w:pPr>
        <w:rPr>
          <w:rFonts w:ascii="Bell MT" w:hAnsi="Bell MT" w:cs="Bell MT"/>
          <w:sz w:val="20"/>
          <w:szCs w:val="20"/>
        </w:rPr>
      </w:pPr>
    </w:p>
    <w:p>
      <w:pPr>
        <w:rPr>
          <w:rFonts w:ascii="Bell MT" w:hAnsi="Bell MT" w:cs="Bell MT"/>
          <w:sz w:val="20"/>
          <w:szCs w:val="20"/>
        </w:rPr>
      </w:pPr>
      <w:r>
        <w:rPr>
          <w:rFonts w:ascii="Bell MT" w:hAnsi="Bell MT" w:cs="Bell MT"/>
          <w:b/>
        </w:rPr>
        <w:t>1</w:t>
      </w:r>
      <w:r>
        <w:rPr>
          <w:rFonts w:ascii="Bell MT" w:hAnsi="Bell MT" w:cs="Bell MT"/>
          <w:b/>
        </w:rPr>
        <w:t>st</w:t>
      </w:r>
      <w:r>
        <w:rPr>
          <w:rFonts w:ascii="Bell MT" w:hAnsi="Bell MT" w:cs="Bell MT"/>
          <w:b/>
        </w:rPr>
        <w:t xml:space="preserve"> Follow Up:</w:t>
      </w:r>
      <w:r>
        <w:rPr>
          <w:rFonts w:ascii="Bell MT" w:hAnsi="Bell MT" w:cs="Bell MT"/>
          <w:sz w:val="20"/>
        </w:rPr>
        <w:t xml:space="preserve"> This is the 50% rule visit. If patients have improved by 50% or more, we are on the right track. We typically continue the stretching, shoe support, heel lift, insert, and activity modification plan for another 4-6 weeks, and then slowly transition back into normal activity as long as symptoms continue to improve.</w:t>
      </w:r>
    </w:p>
    <w:p>
      <w:pPr>
        <w:rPr>
          <w:rFonts w:ascii="Bell MT" w:hAnsi="Bell MT" w:cs="Bell MT"/>
          <w:sz w:val="20"/>
          <w:szCs w:val="20"/>
        </w:rPr>
      </w:pPr>
      <w:r>
        <w:rPr>
          <w:rFonts w:ascii="Bell MT" w:hAnsi="Bell MT" w:cs="Bell MT"/>
          <w:b w:val="0"/>
          <w:i w:val="0"/>
          <w:sz w:val="20"/>
        </w:rPr>
        <w:t>If patients are not quite 50% better, no better, or worse, we have some alternative options. These options generally include:</w:t>
      </w:r>
    </w:p>
    <w:p>
      <w:pPr>
        <w:pStyle w:val="ListParagraph"/>
        <w:rPr>
          <w:rFonts w:ascii="Bell MT" w:hAnsi="Bell MT" w:cs="Bell MT"/>
          <w:sz w:val="20"/>
          <w:szCs w:val="20"/>
        </w:rPr>
        <w:numPr>
          <w:ilvl w:val="0"/>
          <w:numId w:val="2"/>
        </w:numPr>
      </w:pPr>
      <w:r>
        <w:rPr>
          <w:rFonts w:ascii="Bell MT" w:hAnsi="Bell MT" w:cs="Bell MT"/>
          <w:b/>
          <w:sz w:val="20"/>
        </w:rPr>
        <w:t>Formal Physical Therapy:</w:t>
      </w:r>
      <w:r>
        <w:rPr>
          <w:rFonts w:ascii="Bell MT" w:hAnsi="Bell MT" w:cs="Bell MT"/>
          <w:sz w:val="20"/>
        </w:rPr>
        <w:t xml:space="preserve"> Physical therapy is not always required initially, but it can be very helpful if symptoms are lingering. Therapy can help with calf flexibility, eccentric strengthening, gait mechanics, balance, and a gradual return to activity without overloading the tendon.</w:t>
      </w:r>
    </w:p>
    <w:p>
      <w:pPr>
        <w:pStyle w:val="ListParagraph"/>
        <w:rPr>
          <w:rFonts w:ascii="Bell MT" w:hAnsi="Bell MT" w:cs="Bell MT"/>
          <w:sz w:val="20"/>
          <w:szCs w:val="20"/>
        </w:rPr>
        <w:numPr>
          <w:ilvl w:val="0"/>
          <w:numId w:val="2"/>
        </w:numPr>
      </w:pPr>
      <w:r>
        <w:rPr>
          <w:rFonts w:ascii="Bell MT" w:hAnsi="Bell MT" w:cs="Bell MT"/>
          <w:b/>
          <w:sz w:val="20"/>
        </w:rPr>
        <w:t>Boot or Brace Immobilization:</w:t>
      </w:r>
      <w:r>
        <w:rPr>
          <w:rFonts w:ascii="Bell MT" w:hAnsi="Bell MT" w:cs="Bell MT"/>
          <w:sz w:val="20"/>
        </w:rPr>
        <w:t xml:space="preserve"> If we did not start with a boot and symptoms are not improving, this may be the point where we immobilize for 2-3 weeks. A brace or night splint may also be discussed depending on the location of pain and stiffness pattern.</w:t>
      </w:r>
    </w:p>
    <w:p>
      <w:pPr>
        <w:pStyle w:val="ListParagraph"/>
        <w:rPr>
          <w:rFonts w:ascii="Bell MT" w:hAnsi="Bell MT" w:cs="Bell MT"/>
          <w:sz w:val="20"/>
          <w:szCs w:val="20"/>
        </w:rPr>
        <w:numPr>
          <w:ilvl w:val="0"/>
          <w:numId w:val="2"/>
        </w:numPr>
      </w:pPr>
      <w:r>
        <w:rPr>
          <w:rFonts w:ascii="Bell MT" w:hAnsi="Bell MT" w:cs="Bell MT"/>
          <w:b/>
          <w:sz w:val="20"/>
        </w:rPr>
        <w:t>PRP Injection:</w:t>
      </w:r>
      <w:r>
        <w:rPr>
          <w:rFonts w:ascii="Bell MT" w:hAnsi="Bell MT" w:cs="Bell MT"/>
          <w:sz w:val="20"/>
        </w:rPr>
        <w:t xml:space="preserve"> PRP may be discussed for tendon pain that is not improving with standard conservative care. This uses your own blood, which is drawn, spun, and concentrated, then injected around or into the damaged tendon region depending on the exact problem. A separate PRP handout can be referenced for details, risks, benefits, post-procedure expectations, and cost.</w:t>
      </w:r>
    </w:p>
    <w:p>
      <w:pPr>
        <w:pStyle w:val="ListParagraph"/>
        <w:rPr>
          <w:rFonts w:ascii="Bell MT" w:hAnsi="Bell MT" w:cs="Bell MT"/>
          <w:sz w:val="20"/>
          <w:szCs w:val="20"/>
        </w:rPr>
        <w:numPr>
          <w:ilvl w:val="0"/>
          <w:numId w:val="2"/>
        </w:numPr>
      </w:pPr>
      <w:r>
        <w:rPr>
          <w:rFonts w:ascii="Bell MT" w:hAnsi="Bell MT" w:cs="Bell MT"/>
          <w:b/>
          <w:sz w:val="20"/>
        </w:rPr>
        <w:t>MRI:</w:t>
      </w:r>
      <w:r>
        <w:rPr>
          <w:rFonts w:ascii="Bell MT" w:hAnsi="Bell MT" w:cs="Bell MT"/>
          <w:sz w:val="20"/>
        </w:rPr>
        <w:t xml:space="preserve"> If pain is worsening, very focal, associated with swelling, or there is concern for tearing, we may consider an MRI at this time. MRI helps us evaluate tendon degeneration, partial tearing, inflammation around the tendon, bursitis, and whether a heel spur or calcification is contributing to symptoms.</w:t>
      </w:r>
    </w:p>
    <w:p>
      <w:pPr>
        <w:pStyle w:val="ListParagraph"/>
        <w:rPr>
          <w:rFonts w:ascii="Bell MT" w:hAnsi="Bell MT" w:cs="Bell MT"/>
          <w:sz w:val="20"/>
          <w:szCs w:val="20"/>
        </w:rPr>
        <w:numPr>
          <w:ilvl w:val="0"/>
          <w:numId w:val="2"/>
        </w:numPr>
      </w:pPr>
      <w:r>
        <w:rPr>
          <w:rFonts w:ascii="Bell MT" w:hAnsi="Bell MT" w:cs="Bell MT"/>
          <w:b/>
          <w:sz w:val="20"/>
        </w:rPr>
        <w:t>Avoiding Steroid Injection Into the Achilles:</w:t>
      </w:r>
      <w:r>
        <w:rPr>
          <w:rFonts w:ascii="Bell MT" w:hAnsi="Bell MT" w:cs="Bell MT"/>
          <w:sz w:val="20"/>
        </w:rPr>
        <w:t xml:space="preserve"> Steroid injections can be helpful in many foot and ankle problems, but I am very cautious with the Achilles tendon. Steroid placed into or directly around the tendon can weaken tissue and increase risk of rupture, so this is generally avoided or used only in very select non-tendon situations.</w:t>
      </w:r>
    </w:p>
    <w:p>
      <w:pPr>
        <w:rPr>
          <w:rFonts w:ascii="Bell MT" w:hAnsi="Bell MT" w:cs="Bell MT"/>
          <w:sz w:val="20"/>
          <w:szCs w:val="20"/>
        </w:rPr>
      </w:pPr>
      <w:r>
        <w:rPr>
          <w:rFonts w:ascii="Bell MT" w:hAnsi="Bell MT" w:cs="Bell MT"/>
          <w:b w:val="0"/>
          <w:i w:val="0"/>
          <w:sz w:val="20"/>
        </w:rPr>
        <w:t>*In the event of a pop, sudden weakness, inability to push off, rapidly worsening swelling, or bruising, patients should contact the office sooner because this can represent a tear rather than routine tendinitis.</w:t>
      </w:r>
    </w:p>
    <w:p>
      <w:pPr>
        <w:rPr>
          <w:rFonts w:ascii="Bell MT" w:hAnsi="Bell MT" w:cs="Bell MT"/>
          <w:sz w:val="20"/>
          <w:szCs w:val="20"/>
        </w:rPr>
      </w:pPr>
    </w:p>
    <w:p>
      <w:pPr>
        <w:rPr>
          <w:rFonts w:ascii="Bell MT" w:hAnsi="Bell MT" w:cs="Bell MT"/>
          <w:sz w:val="20"/>
          <w:szCs w:val="20"/>
        </w:rPr>
      </w:pPr>
      <w:r>
        <w:rPr>
          <w:rFonts w:ascii="Bell MT" w:hAnsi="Bell MT" w:cs="Bell MT"/>
          <w:b/>
        </w:rPr>
        <w:t>2</w:t>
      </w:r>
      <w:r>
        <w:rPr>
          <w:rFonts w:ascii="Bell MT" w:hAnsi="Bell MT" w:cs="Bell MT"/>
          <w:b/>
        </w:rPr>
        <w:t>nd</w:t>
      </w:r>
      <w:r>
        <w:rPr>
          <w:rFonts w:ascii="Bell MT" w:hAnsi="Bell MT" w:cs="Bell MT"/>
          <w:b/>
        </w:rPr>
        <w:t xml:space="preserve"> Follow Up:</w:t>
      </w:r>
      <w:r>
        <w:rPr>
          <w:rFonts w:ascii="Bell MT" w:hAnsi="Bell MT" w:cs="Bell MT"/>
          <w:sz w:val="20"/>
        </w:rPr>
        <w:t xml:space="preserve"> We expect significant improvement and a transition toward long term maintenance at this point. If symptoms are improving, the conversation shifts toward prevention, calf flexibility, shoe choices, heel lift weaning, and safe return to exercise. In the event of recurrence, we may repeat portions of the protocol, consider formal therapy, or discuss PRP depending on the amount of degeneration and patient goals. If unfortunately the patient has failed conservative care, we may consider surgery at this time. Surgical discussion is tailored to the exact location and severity of the Achilles problem.</w:t>
      </w:r>
    </w:p>
    <w:p>
      <w:pPr>
        <w:rPr>
          <w:rFonts w:ascii="Bell MT" w:hAnsi="Bell MT" w:cs="Bell MT"/>
          <w:sz w:val="20"/>
          <w:szCs w:val="20"/>
        </w:rPr>
      </w:pPr>
      <w:r>
        <w:rPr>
          <w:rFonts w:ascii="Bell MT" w:hAnsi="Bell MT" w:cs="Bell MT"/>
          <w:b w:val="0"/>
          <w:i w:val="0"/>
          <w:sz w:val="20"/>
        </w:rPr>
        <w:t>Typical surgical options include gastrocnemius recession when calf tightness is the major driver, Achilles tendon debridement when the tendon is degenerative or thickened, removal of a painful posterior heel spur or Haglund bump when insertional pain is the problem, and Achilles detachment/reattachment when the tendon has to be lifted off the heel bone to remove bone and repair the tendon. A gastrocnemius recession is usually a smaller recovery, often involving a boot for a few weeks and gradual return to shoes and activity. Insertional Achilles surgery with spur removal and tendon reattachment is a bigger recovery, commonly involving a period of non-weightbearing, then boot protection, then therapy, with meaningful recovery usually taking 3-6 months and final improvement often continuing up to 1 year.</w:t>
      </w:r>
    </w:p>
    <w:p>
      <w:pPr>
        <w:rPr>
          <w:rFonts w:ascii="Bell MT" w:hAnsi="Bell MT" w:cs="Bell MT"/>
          <w:sz w:val="20"/>
          <w:szCs w:val="20"/>
        </w:rPr>
      </w:pPr>
    </w:p>
    <w:p>
      <w:pPr>
        <w:rPr>
          <w:rFonts w:ascii="Bell MT" w:hAnsi="Bell MT" w:cs="Bell MT"/>
          <w:sz w:val="20"/>
          <w:szCs w:val="20"/>
        </w:rPr>
      </w:pPr>
      <w:r>
        <w:rPr>
          <w:rFonts w:ascii="Bell MT" w:hAnsi="Bell MT" w:cs="Bell MT"/>
          <w:b w:val="0"/>
          <w:i w:val="0"/>
          <w:sz w:val="20"/>
        </w:rPr>
        <w:t xml:space="preserve">Side Notes: </w:t>
      </w:r>
    </w:p>
    <w:p>
      <w:pPr>
        <w:pStyle w:val="ListParagraph"/>
        <w:rPr>
          <w:rFonts w:ascii="Bell MT" w:hAnsi="Bell MT" w:cs="Bell MT"/>
          <w:sz w:val="20"/>
          <w:szCs w:val="20"/>
        </w:rPr>
        <w:numPr>
          <w:ilvl w:val="0"/>
          <w:numId w:val="3"/>
        </w:numPr>
      </w:pPr>
      <w:r>
        <w:rPr>
          <w:rFonts w:ascii="Bell MT" w:hAnsi="Bell MT" w:cs="Bell MT"/>
          <w:b/>
          <w:sz w:val="20"/>
        </w:rPr>
        <w:t>Back of heel bump:</w:t>
      </w:r>
      <w:r>
        <w:rPr>
          <w:rFonts w:ascii="Bell MT" w:hAnsi="Bell MT" w:cs="Bell MT"/>
          <w:sz w:val="20"/>
        </w:rPr>
        <w:t xml:space="preserve"> A bump at the back of the heel can be irritated by shoe pressure and may represent a Haglund deformity, insertional Achilles tendinitis, bursitis, or calcification. Pads, shoe modification, heel lifts, and boot immobilization may help, but persistent mechanical pressure sometimes requires surgical discussion.</w:t>
      </w:r>
    </w:p>
    <w:p>
      <w:pPr>
        <w:pStyle w:val="ListParagraph"/>
        <w:rPr>
          <w:rFonts w:ascii="Bell MT" w:hAnsi="Bell MT" w:cs="Bell MT"/>
          <w:sz w:val="20"/>
          <w:szCs w:val="20"/>
        </w:rPr>
        <w:numPr>
          <w:ilvl w:val="0"/>
          <w:numId w:val="3"/>
        </w:numPr>
      </w:pPr>
      <w:r>
        <w:rPr>
          <w:rFonts w:ascii="Bell MT" w:hAnsi="Bell MT" w:cs="Bell MT"/>
          <w:b/>
          <w:sz w:val="20"/>
        </w:rPr>
        <w:t>This is usually not a quick fix:</w:t>
      </w:r>
      <w:r>
        <w:rPr>
          <w:rFonts w:ascii="Bell MT" w:hAnsi="Bell MT" w:cs="Bell MT"/>
          <w:sz w:val="20"/>
        </w:rPr>
        <w:t xml:space="preserve"> Achilles symptoms often lag behind effort. Patients may be doing the right things for several weeks before the tendon feels dramatically different, which is why the 4-6 week consistency window is important.</w:t>
      </w:r>
    </w:p>
    <w:p>
      <w:pPr>
        <w:pStyle w:val="ListParagraph"/>
        <w:rPr>
          <w:rFonts w:ascii="Bell MT" w:hAnsi="Bell MT" w:cs="Bell MT"/>
          <w:sz w:val="20"/>
          <w:szCs w:val="20"/>
        </w:rPr>
        <w:numPr>
          <w:ilvl w:val="0"/>
          <w:numId w:val="3"/>
        </w:numPr>
      </w:pPr>
      <w:r>
        <w:rPr>
          <w:rFonts w:ascii="Bell MT" w:hAnsi="Bell MT" w:cs="Bell MT"/>
          <w:b/>
          <w:sz w:val="20"/>
        </w:rPr>
        <w:t>Activity return:</w:t>
      </w:r>
      <w:r>
        <w:rPr>
          <w:rFonts w:ascii="Bell MT" w:hAnsi="Bell MT" w:cs="Bell MT"/>
          <w:sz w:val="20"/>
        </w:rPr>
        <w:t xml:space="preserve"> Return to running, jumping, and heavy calf work should be gradual. Pain during the activity or soreness that spikes the next day usually means the tendon is not ready for that level yet.</w:t>
      </w:r>
    </w:p>
    <w:p>
      <w:r>
        <w:br w:type="page"/>
      </w:r>
    </w:p>
    <w:p>
      <w:pPr>
        <w:rPr>
          <w:rFonts w:ascii="Bell MT" w:hAnsi="Bell MT" w:cs="Bell MT"/>
        </w:rPr>
      </w:pPr>
      <w:r>
        <w:rPr>
          <w:rFonts w:ascii="Bell MT" w:hAnsi="Bell MT" w:cs="Bell MT"/>
          <w:b/>
          <w:i w:val="0"/>
        </w:rPr>
        <w:t>Stretching:</w:t>
      </w:r>
    </w:p>
    <w:p>
      <w:pPr>
        <w:pStyle w:val="ListParagraph"/>
        <w:rPr>
          <w:rFonts w:ascii="Bell MT" w:hAnsi="Bell MT" w:cs="Bell MT"/>
        </w:rPr>
        <w:numPr>
          <w:ilvl w:val="0"/>
          <w:numId w:val="5"/>
        </w:numPr>
      </w:pPr>
      <w:r>
        <w:rPr>
          <w:rFonts w:ascii="Bell MT" w:hAnsi="Bell MT" w:cs="Bell MT"/>
        </w:rPr>
        <w:t>Affected leg back, start with hip and knee straight/locked.</w:t>
      </w:r>
    </w:p>
    <w:p>
      <w:pPr>
        <w:pStyle w:val="ListParagraph"/>
        <w:rPr>
          <w:rFonts w:ascii="Bell MT" w:hAnsi="Bell MT" w:cs="Bell MT"/>
        </w:rPr>
        <w:numPr>
          <w:ilvl w:val="0"/>
          <w:numId w:val="5"/>
        </w:numPr>
      </w:pPr>
      <w:r>
        <w:rPr>
          <w:rFonts w:ascii="Bell MT" w:hAnsi="Bell MT" w:cs="Bell MT"/>
        </w:rPr>
        <w:t>Slide heel back or lean further forward until a pull is felt in back of calf and/or back of knee/hamstring.</w:t>
      </w:r>
    </w:p>
    <w:p>
      <w:pPr>
        <w:pStyle w:val="ListParagraph"/>
        <w:rPr>
          <w:rFonts w:ascii="Bell MT" w:hAnsi="Bell MT" w:cs="Bell MT"/>
        </w:rPr>
        <w:numPr>
          <w:ilvl w:val="0"/>
          <w:numId w:val="5"/>
        </w:numPr>
      </w:pPr>
      <w:r>
        <w:rPr>
          <w:rFonts w:ascii="Bell MT" w:hAnsi="Bell MT" w:cs="Bell MT"/>
        </w:rPr>
        <w:t>Hold in a position of tension/pulling but not pain.</w:t>
      </w:r>
    </w:p>
    <w:p>
      <w:pPr>
        <w:pStyle w:val="ListParagraph"/>
        <w:rPr>
          <w:rFonts w:ascii="Bell MT" w:hAnsi="Bell MT" w:cs="Bell MT"/>
        </w:rPr>
        <w:numPr>
          <w:ilvl w:val="0"/>
          <w:numId w:val="5"/>
        </w:numPr>
      </w:pPr>
      <w:r>
        <w:rPr>
          <w:rFonts w:ascii="Bell MT" w:hAnsi="Bell MT" w:cs="Bell MT"/>
        </w:rPr>
        <w:t>Hold for 2 minutes, with a short 2-5 second shake out or pause as needed.</w:t>
      </w:r>
    </w:p>
    <w:p>
      <w:pPr>
        <w:pStyle w:val="ListParagraph"/>
        <w:rPr>
          <w:rFonts w:ascii="Bell MT" w:hAnsi="Bell MT" w:cs="Bell MT"/>
        </w:rPr>
        <w:numPr>
          <w:ilvl w:val="0"/>
          <w:numId w:val="5"/>
        </w:numPr>
      </w:pPr>
      <w:r>
        <w:rPr>
          <w:rFonts w:ascii="Bell MT" w:hAnsi="Bell MT" w:cs="Bell MT"/>
        </w:rPr>
        <w:t>Repeat on opposite side.</w:t>
      </w:r>
    </w:p>
    <w:p>
      <w:pPr>
        <w:pStyle w:val="ListParagraph"/>
        <w:rPr>
          <w:rFonts w:ascii="Bell MT" w:hAnsi="Bell MT" w:cs="Bell MT"/>
        </w:rPr>
        <w:numPr>
          <w:ilvl w:val="0"/>
          <w:numId w:val="5"/>
        </w:numPr>
      </w:pPr>
      <w:r>
        <w:rPr>
          <w:rFonts w:ascii="Bell MT" w:hAnsi="Bell MT" w:cs="Bell MT"/>
        </w:rPr>
        <w:t>Repeat for an additional 2 minutes to both sides for extra credit.</w:t>
      </w:r>
    </w:p>
    <w:p>
      <w:pPr>
        <w:pStyle w:val="ListParagraph"/>
        <w:rPr>
          <w:rFonts w:ascii="Bell MT" w:hAnsi="Bell MT" w:cs="Bell MT"/>
        </w:rPr>
        <w:numPr>
          <w:ilvl w:val="0"/>
          <w:numId w:val="5"/>
        </w:numPr>
      </w:pPr>
      <w:r>
        <w:rPr>
          <w:rFonts w:ascii="Bell MT" w:hAnsi="Bell MT" w:cs="Bell MT"/>
        </w:rPr>
        <w:t>Alternatively, for the second round, this same stretch can be performed with the affected knee slightly bent to target a different area of the muscle.</w:t>
      </w:r>
    </w:p>
    <w:p>
      <w:pPr>
        <w:jc w:val="center"/>
      </w:pPr>
      <w:r>
        <w:drawing>
          <wp:inline xmlns:a="http://schemas.openxmlformats.org/drawingml/2006/main" xmlns:pic="http://schemas.openxmlformats.org/drawingml/2006/picture">
            <wp:extent cx="5760720" cy="3548604"/>
            <wp:docPr id="1" name="Picture 1"/>
            <wp:cNvGraphicFramePr>
              <a:graphicFrameLocks noChangeAspect="1"/>
            </wp:cNvGraphicFramePr>
            <a:graphic>
              <a:graphicData uri="http://schemas.openxmlformats.org/drawingml/2006/picture">
                <pic:pic>
                  <pic:nvPicPr>
                    <pic:cNvPr id="0" name="image.png"/>
                    <pic:cNvPicPr/>
                  </pic:nvPicPr>
                  <pic:blipFill>
                    <a:blip r:embed="rId7"/>
                    <a:stretch>
                      <a:fillRect/>
                    </a:stretch>
                  </pic:blipFill>
                  <pic:spPr>
                    <a:xfrm>
                      <a:off x="0" y="0"/>
                      <a:ext cx="5760720" cy="3548604"/>
                    </a:xfrm>
                    <a:prstGeom prst="rect"/>
                  </pic:spPr>
                </pic:pic>
              </a:graphicData>
            </a:graphic>
          </wp:inline>
        </w:drawing>
      </w:r>
    </w:p>
    <w:sectPr w:rsidR="007625A0" w:rsidRPr="00282DB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B6F39" w14:textId="77777777" w:rsidR="00C40A8E" w:rsidRDefault="00C40A8E" w:rsidP="003A0AD4">
      <w:pPr>
        <w:spacing w:after="0" w:line="240" w:lineRule="auto"/>
      </w:pPr>
      <w:r>
        <w:separator/>
      </w:r>
    </w:p>
  </w:endnote>
  <w:endnote w:type="continuationSeparator" w:id="0">
    <w:p w14:paraId="1F767D64" w14:textId="77777777" w:rsidR="00C40A8E" w:rsidRDefault="00C40A8E" w:rsidP="003A0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ell MT">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B5692" w14:textId="77777777" w:rsidR="003A0AD4" w:rsidRPr="003A0AD4" w:rsidRDefault="003A0AD4" w:rsidP="003A0AD4">
    <w:pPr>
      <w:rPr>
        <w:sz w:val="12"/>
        <w:szCs w:val="12"/>
      </w:rPr>
    </w:pPr>
    <w:r w:rsidRPr="003A0AD4">
      <w:rPr>
        <w:sz w:val="12"/>
        <w:szCs w:val="12"/>
      </w:rPr>
      <w:t>*Disclaimer: This handout is educational content only and is designed to function as a point of reference and generalized recommendations. This document is in no way intended to replace, provide, or offer formal medical treatment or provide official medical advice. Please always defer to your physician and/or treating provider regarding formal diagnosis and treatment recommendations.</w:t>
    </w:r>
  </w:p>
  <w:p w14:paraId="07401A2F" w14:textId="77777777" w:rsidR="003A0AD4" w:rsidRDefault="003A0A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1BA30" w14:textId="77777777" w:rsidR="00C40A8E" w:rsidRDefault="00C40A8E" w:rsidP="003A0AD4">
      <w:pPr>
        <w:spacing w:after="0" w:line="240" w:lineRule="auto"/>
      </w:pPr>
      <w:r>
        <w:separator/>
      </w:r>
    </w:p>
  </w:footnote>
  <w:footnote w:type="continuationSeparator" w:id="0">
    <w:p w14:paraId="3BE34B9A" w14:textId="77777777" w:rsidR="00C40A8E" w:rsidRDefault="00C40A8E" w:rsidP="003A0A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A6BA4" w14:textId="77777777" w:rsidR="003A0AD4" w:rsidRDefault="003A0AD4" w:rsidP="003A0AD4">
    <w:pPr>
      <w:pStyle w:val="NoSpacing"/>
      <w:jc w:val="center"/>
      <w:rPr>
        <w:rFonts w:ascii="Bell MT" w:hAnsi="Bell MT"/>
      </w:rPr>
    </w:pPr>
    <w:r>
      <w:rPr>
        <w:rFonts w:ascii="Bell MT" w:hAnsi="Bell MT"/>
      </w:rPr>
      <w:t>Dr. Dalton Ryba, DPM FACFAS</w:t>
    </w:r>
  </w:p>
  <w:p w14:paraId="60201CD6" w14:textId="77777777" w:rsidR="003A0AD4" w:rsidRDefault="003A0AD4" w:rsidP="003A0AD4">
    <w:pPr>
      <w:pStyle w:val="NoSpacing"/>
      <w:jc w:val="center"/>
      <w:rPr>
        <w:rFonts w:ascii="Bell MT" w:hAnsi="Bell MT"/>
      </w:rPr>
    </w:pPr>
    <w:r>
      <w:rPr>
        <w:rFonts w:ascii="Bell MT" w:hAnsi="Bell MT"/>
      </w:rPr>
      <w:t>Lone Star Orthopaedics and Spine Specialists, PLLC</w:t>
    </w:r>
  </w:p>
  <w:p w14:paraId="4AFF28AA" w14:textId="77777777" w:rsidR="003A0AD4" w:rsidRDefault="003A0AD4" w:rsidP="003A0AD4">
    <w:pPr>
      <w:pStyle w:val="NoSpacing"/>
      <w:jc w:val="center"/>
      <w:rPr>
        <w:rFonts w:ascii="Bell MT" w:hAnsi="Bell MT"/>
      </w:rPr>
    </w:pPr>
    <w:r>
      <w:rPr>
        <w:rFonts w:ascii="Bell MT" w:hAnsi="Bell MT"/>
      </w:rPr>
      <w:t>Fortworthfootdoctor.com</w:t>
    </w:r>
  </w:p>
  <w:p w14:paraId="22D0F73B" w14:textId="77777777" w:rsidR="003A0AD4" w:rsidRDefault="003A0A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109E"/>
    <w:multiLevelType w:val="hybridMultilevel"/>
    <w:tmpl w:val="7FB25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9D05BA"/>
    <w:multiLevelType w:val="hybridMultilevel"/>
    <w:tmpl w:val="0BC02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3F6EE0"/>
    <w:multiLevelType w:val="hybridMultilevel"/>
    <w:tmpl w:val="E390BA6A"/>
    <w:lvl w:ilvl="0" w:tplc="E9DAE7DE">
      <w:start w:val="1"/>
      <w:numFmt w:val="lowerLetter"/>
      <w:lvlText w:val="%1."/>
      <w:lvlJc w:val="left"/>
      <w:pPr>
        <w:ind w:left="720" w:hanging="360"/>
      </w:pPr>
      <w:rPr>
        <w:rFonts w:ascii="Bell MT" w:hAnsi="Bell M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F23EE4"/>
    <w:multiLevelType w:val="hybridMultilevel"/>
    <w:tmpl w:val="70ACE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1845D5"/>
    <w:multiLevelType w:val="hybridMultilevel"/>
    <w:tmpl w:val="B1DCB6A4"/>
    <w:lvl w:ilvl="0" w:tplc="1220AAE6">
      <w:start w:val="1"/>
      <w:numFmt w:val="decimal"/>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12072943">
    <w:abstractNumId w:val="4"/>
  </w:num>
  <w:num w:numId="2" w16cid:durableId="992173860">
    <w:abstractNumId w:val="3"/>
  </w:num>
  <w:num w:numId="3" w16cid:durableId="1585727004">
    <w:abstractNumId w:val="2"/>
  </w:num>
  <w:num w:numId="4" w16cid:durableId="205456535">
    <w:abstractNumId w:val="0"/>
  </w:num>
  <w:num w:numId="5" w16cid:durableId="201329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FBD"/>
    <w:rsid w:val="000624A7"/>
    <w:rsid w:val="00282DB7"/>
    <w:rsid w:val="00316550"/>
    <w:rsid w:val="00342E10"/>
    <w:rsid w:val="003A0AD4"/>
    <w:rsid w:val="00423FBD"/>
    <w:rsid w:val="00547A1D"/>
    <w:rsid w:val="00637C99"/>
    <w:rsid w:val="00693585"/>
    <w:rsid w:val="00743E8A"/>
    <w:rsid w:val="00755EB4"/>
    <w:rsid w:val="007625A0"/>
    <w:rsid w:val="008C2931"/>
    <w:rsid w:val="008C368F"/>
    <w:rsid w:val="009B5D0A"/>
    <w:rsid w:val="00BB68EE"/>
    <w:rsid w:val="00C40A8E"/>
    <w:rsid w:val="00CD31B5"/>
    <w:rsid w:val="00D37C41"/>
    <w:rsid w:val="00DD060C"/>
    <w:rsid w:val="00DF0A2D"/>
    <w:rsid w:val="00DF20E4"/>
    <w:rsid w:val="00EC1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4C3BA"/>
  <w15:chartTrackingRefBased/>
  <w15:docId w15:val="{92CD7726-8D70-4293-BF20-2BD6E8655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F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3F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3F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3F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3F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3F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F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F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F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F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3F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3F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3F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3F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3F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F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F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FBD"/>
    <w:rPr>
      <w:rFonts w:eastAsiaTheme="majorEastAsia" w:cstheme="majorBidi"/>
      <w:color w:val="272727" w:themeColor="text1" w:themeTint="D8"/>
    </w:rPr>
  </w:style>
  <w:style w:type="paragraph" w:styleId="Title">
    <w:name w:val="Title"/>
    <w:basedOn w:val="Normal"/>
    <w:next w:val="Normal"/>
    <w:link w:val="TitleChar"/>
    <w:uiPriority w:val="10"/>
    <w:qFormat/>
    <w:rsid w:val="00423F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F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F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F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FBD"/>
    <w:pPr>
      <w:spacing w:before="160"/>
      <w:jc w:val="center"/>
    </w:pPr>
    <w:rPr>
      <w:i/>
      <w:iCs/>
      <w:color w:val="404040" w:themeColor="text1" w:themeTint="BF"/>
    </w:rPr>
  </w:style>
  <w:style w:type="character" w:customStyle="1" w:styleId="QuoteChar">
    <w:name w:val="Quote Char"/>
    <w:basedOn w:val="DefaultParagraphFont"/>
    <w:link w:val="Quote"/>
    <w:uiPriority w:val="29"/>
    <w:rsid w:val="00423FBD"/>
    <w:rPr>
      <w:i/>
      <w:iCs/>
      <w:color w:val="404040" w:themeColor="text1" w:themeTint="BF"/>
    </w:rPr>
  </w:style>
  <w:style w:type="paragraph" w:styleId="ListParagraph">
    <w:name w:val="List Paragraph"/>
    <w:basedOn w:val="Normal"/>
    <w:uiPriority w:val="34"/>
    <w:qFormat/>
    <w:rsid w:val="00423FBD"/>
    <w:pPr>
      <w:ind w:left="720"/>
      <w:contextualSpacing/>
    </w:pPr>
  </w:style>
  <w:style w:type="character" w:styleId="IntenseEmphasis">
    <w:name w:val="Intense Emphasis"/>
    <w:basedOn w:val="DefaultParagraphFont"/>
    <w:uiPriority w:val="21"/>
    <w:qFormat/>
    <w:rsid w:val="00423FBD"/>
    <w:rPr>
      <w:i/>
      <w:iCs/>
      <w:color w:val="0F4761" w:themeColor="accent1" w:themeShade="BF"/>
    </w:rPr>
  </w:style>
  <w:style w:type="paragraph" w:styleId="IntenseQuote">
    <w:name w:val="Intense Quote"/>
    <w:basedOn w:val="Normal"/>
    <w:next w:val="Normal"/>
    <w:link w:val="IntenseQuoteChar"/>
    <w:uiPriority w:val="30"/>
    <w:qFormat/>
    <w:rsid w:val="00423F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3FBD"/>
    <w:rPr>
      <w:i/>
      <w:iCs/>
      <w:color w:val="0F4761" w:themeColor="accent1" w:themeShade="BF"/>
    </w:rPr>
  </w:style>
  <w:style w:type="character" w:styleId="IntenseReference">
    <w:name w:val="Intense Reference"/>
    <w:basedOn w:val="DefaultParagraphFont"/>
    <w:uiPriority w:val="32"/>
    <w:qFormat/>
    <w:rsid w:val="00423FBD"/>
    <w:rPr>
      <w:b/>
      <w:bCs/>
      <w:smallCaps/>
      <w:color w:val="0F4761" w:themeColor="accent1" w:themeShade="BF"/>
      <w:spacing w:val="5"/>
    </w:rPr>
  </w:style>
  <w:style w:type="paragraph" w:styleId="NoSpacing">
    <w:name w:val="No Spacing"/>
    <w:uiPriority w:val="1"/>
    <w:qFormat/>
    <w:rsid w:val="00423FBD"/>
    <w:pPr>
      <w:spacing w:after="0" w:line="240" w:lineRule="auto"/>
    </w:pPr>
  </w:style>
  <w:style w:type="paragraph" w:styleId="Header">
    <w:name w:val="header"/>
    <w:basedOn w:val="Normal"/>
    <w:link w:val="HeaderChar"/>
    <w:uiPriority w:val="99"/>
    <w:unhideWhenUsed/>
    <w:rsid w:val="003A0A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0AD4"/>
  </w:style>
  <w:style w:type="paragraph" w:styleId="Footer">
    <w:name w:val="footer"/>
    <w:basedOn w:val="Normal"/>
    <w:link w:val="FooterChar"/>
    <w:uiPriority w:val="99"/>
    <w:unhideWhenUsed/>
    <w:rsid w:val="003A0A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0A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3</Pages>
  <Words>1218</Words>
  <Characters>6949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Dalton Ryba</dc:creator>
  <cp:keywords/>
  <dc:description/>
  <cp:lastModifiedBy>Dalton Ryba</cp:lastModifiedBy>
  <cp:revision>10</cp:revision>
  <dcterms:created xsi:type="dcterms:W3CDTF">2026-07-20T13:12:00Z</dcterms:created>
  <dcterms:modified xsi:type="dcterms:W3CDTF">2026-07-20T15:44:00Z</dcterms:modified>
</cp:coreProperties>
</file>