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NoSpacing"/>
        <w:jc w:val="center"/>
        <w:rPr>
          <w:rFonts w:ascii="Bell MT" w:hAnsi="Bell MT" w:cs="Bell MT"/>
        </w:rPr>
      </w:pPr>
      <w:r>
        <w:rPr>
          <w:rFonts w:ascii="Bell MT" w:hAnsi="Bell MT" w:cs="Bell MT"/>
        </w:rPr>
        <w:t>Ankle Sprain and Instability Protocol</w:t>
      </w:r>
    </w:p>
    <w:p>
      <w:pPr>
        <w:pStyle w:val="NoSpacing"/>
        <w:jc w:val="center"/>
        <w:rPr>
          <w:rFonts w:ascii="Bell MT" w:hAnsi="Bell MT" w:cs="Bell MT"/>
        </w:rPr>
      </w:pPr>
    </w:p>
    <w:p>
      <w:pPr>
        <w:rPr>
          <w:rFonts w:ascii="Bell MT" w:hAnsi="Bell MT" w:cs="Bell MT"/>
          <w:sz w:val="20"/>
          <w:szCs w:val="20"/>
        </w:rPr>
      </w:pPr>
      <w:r>
        <w:rPr>
          <w:rFonts w:ascii="Bell MT" w:hAnsi="Bell MT" w:cs="Bell MT"/>
          <w:b/>
        </w:rPr>
        <w:t>Diagnosis Overview:</w:t>
      </w:r>
      <w:r>
        <w:rPr>
          <w:rFonts w:ascii="Bell MT" w:hAnsi="Bell MT" w:cs="Bell MT"/>
        </w:rPr>
        <w:t xml:space="preserve"> </w:t>
      </w:r>
      <w:r>
        <w:rPr>
          <w:rFonts w:ascii="Bell MT" w:hAnsi="Bell MT" w:cs="Bell MT"/>
          <w:sz w:val="20"/>
        </w:rPr>
        <w:t>Ankle sprains are extremely common, but they are not all the same. Some are mild stretching injuries to the ligaments, while others involve tearing of the ligaments, cartilage injury, tendon injury, high ankle sprain, or even fracture. Most ankle sprains improve with appropriate protection and rehabilitation. The problems we want to avoid are chronic swelling, stiffness, weakness, repeated rolling of the ankle, and a feeling that the ankle is not trustworthy.</w:t>
      </w:r>
    </w:p>
    <w:p>
      <w:pPr>
        <w:rPr>
          <w:rFonts w:ascii="Bell MT" w:hAnsi="Bell MT" w:cs="Bell MT"/>
          <w:sz w:val="20"/>
          <w:szCs w:val="20"/>
        </w:rPr>
      </w:pPr>
      <w:r>
        <w:rPr>
          <w:rFonts w:ascii="Bell MT" w:hAnsi="Bell MT" w:cs="Bell MT"/>
          <w:b/>
        </w:rPr>
        <w:t>Initial Visit:</w:t>
      </w:r>
      <w:r>
        <w:rPr>
          <w:rFonts w:ascii="Bell MT" w:hAnsi="Bell MT" w:cs="Bell MT"/>
        </w:rPr>
        <w:t xml:space="preserve"> </w:t>
      </w:r>
      <w:r>
        <w:rPr>
          <w:rFonts w:ascii="Bell MT" w:hAnsi="Bell MT" w:cs="Bell MT"/>
          <w:sz w:val="20"/>
        </w:rPr>
        <w:t>Initial treatment depends on the severity of pain, swelling, bruising, ability to walk, and what the x-rays show. X-rays are commonly performed at the first visit to rule out fracture and to evaluate alignment. If pain is significant or patients are limping, we may start with walking boot immobilization, usually for 2-3 weeks. If the sprain is more mild and patients can function, we may use a lace-up brace and begin functional rehab earlier. I like to tell people, if we can do 3 things well, symptoms should improve by at least 50% in 1 month, and we are on the right track.</w:t>
      </w:r>
    </w:p>
    <w:p>
      <w:pPr>
        <w:pStyle w:val="ListParagraph"/>
        <w:rPr>
          <w:rFonts w:ascii="Bell MT" w:hAnsi="Bell MT" w:cs="Bell MT"/>
          <w:sz w:val="20"/>
          <w:szCs w:val="20"/>
        </w:rPr>
        <w:numPr>
          <w:ilvl w:val="0"/>
          <w:numId w:val="1"/>
        </w:numPr>
      </w:pPr>
      <w:r>
        <w:rPr>
          <w:rFonts w:ascii="Bell MT" w:hAnsi="Bell MT" w:cs="Bell MT"/>
          <w:b/>
          <w:sz w:val="20"/>
        </w:rPr>
        <w:t>Protection:</w:t>
      </w:r>
      <w:r>
        <w:rPr>
          <w:rFonts w:ascii="Bell MT" w:hAnsi="Bell MT" w:cs="Bell MT"/>
          <w:sz w:val="20"/>
        </w:rPr>
        <w:t xml:space="preserve"> The ankle needs to be protected while the injured ligaments calm down. This may mean a walking boot for more painful sprains, or a functional brace for milder injuries. The goal is not to make the ankle weak by immobilizing it forever, but to keep patients from repeatedly stressing the injured ligament before it has had a chance to heal.</w:t>
      </w:r>
    </w:p>
    <w:p>
      <w:pPr>
        <w:pStyle w:val="ListParagraph"/>
        <w:rPr>
          <w:rFonts w:ascii="Bell MT" w:hAnsi="Bell MT" w:cs="Bell MT"/>
          <w:sz w:val="20"/>
          <w:szCs w:val="20"/>
        </w:rPr>
        <w:numPr>
          <w:ilvl w:val="0"/>
          <w:numId w:val="1"/>
        </w:numPr>
      </w:pPr>
      <w:r>
        <w:rPr>
          <w:rFonts w:ascii="Bell MT" w:hAnsi="Bell MT" w:cs="Bell MT"/>
          <w:b/>
          <w:sz w:val="20"/>
        </w:rPr>
        <w:t>Swelling and Pain Control:</w:t>
      </w:r>
      <w:r>
        <w:rPr>
          <w:rFonts w:ascii="Bell MT" w:hAnsi="Bell MT" w:cs="Bell MT"/>
          <w:sz w:val="20"/>
        </w:rPr>
        <w:t xml:space="preserve"> Ice, elevation, compression, and anti-inflammatories can help calm the initial inflammatory phase, as long as there are no contra-indications. Ice is usually most helpful after activity for 10-15 minutes. Patients should avoid running, jumping, cutting, uneven ground, and sports until walking is comfortable and the ankle feels stable.</w:t>
      </w:r>
    </w:p>
    <w:p>
      <w:pPr>
        <w:pStyle w:val="ListParagraph"/>
        <w:rPr>
          <w:rFonts w:ascii="Bell MT" w:hAnsi="Bell MT" w:cs="Bell MT"/>
          <w:sz w:val="20"/>
          <w:szCs w:val="20"/>
        </w:rPr>
        <w:numPr>
          <w:ilvl w:val="0"/>
          <w:numId w:val="1"/>
        </w:numPr>
      </w:pPr>
      <w:r>
        <w:rPr>
          <w:rFonts w:ascii="Bell MT" w:hAnsi="Bell MT" w:cs="Bell MT"/>
          <w:b/>
          <w:sz w:val="20"/>
        </w:rPr>
        <w:t>Motion and Rehab:</w:t>
      </w:r>
      <w:r>
        <w:rPr>
          <w:rFonts w:ascii="Bell MT" w:hAnsi="Bell MT" w:cs="Bell MT"/>
          <w:sz w:val="20"/>
        </w:rPr>
        <w:t xml:space="preserve"> Once pain allows, gentle ankle range of motion, balance work, and progressive strengthening are important. A common mistake is feeling better and returning to activity before strength and balance have returned. That is how a one-time sprain turns into repeated instability.</w:t>
      </w:r>
    </w:p>
    <w:p>
      <w:pPr>
        <w:rPr>
          <w:rFonts w:ascii="Bell MT" w:hAnsi="Bell MT" w:cs="Bell MT"/>
          <w:sz w:val="20"/>
          <w:szCs w:val="20"/>
        </w:rPr>
      </w:pPr>
    </w:p>
    <w:p>
      <w:pPr>
        <w:rPr>
          <w:rFonts w:ascii="Bell MT" w:hAnsi="Bell MT" w:cs="Bell MT"/>
          <w:sz w:val="20"/>
          <w:szCs w:val="20"/>
        </w:rPr>
      </w:pPr>
      <w:r>
        <w:rPr>
          <w:rFonts w:ascii="Bell MT" w:hAnsi="Bell MT" w:cs="Bell MT"/>
          <w:b/>
        </w:rPr>
        <w:t>1</w:t>
      </w:r>
      <w:r>
        <w:rPr>
          <w:rFonts w:ascii="Bell MT" w:hAnsi="Bell MT" w:cs="Bell MT"/>
          <w:b/>
        </w:rPr>
        <w:t>st</w:t>
      </w:r>
      <w:r>
        <w:rPr>
          <w:rFonts w:ascii="Bell MT" w:hAnsi="Bell MT" w:cs="Bell MT"/>
          <w:b/>
        </w:rPr>
        <w:t xml:space="preserve"> Follow Up:</w:t>
      </w:r>
      <w:r>
        <w:rPr>
          <w:rFonts w:ascii="Bell MT" w:hAnsi="Bell MT" w:cs="Bell MT"/>
          <w:sz w:val="20"/>
        </w:rPr>
        <w:t xml:space="preserve"> This is the 50% rule visit. If patients have improved by 50% or more, we are on the right track. At this point we often transition from boot to brace, or from brace to more activity, depending on symptoms. The focus becomes swelling control, restoring motion, strengthening, balance, and preventing another sprain.</w:t>
      </w:r>
    </w:p>
    <w:p>
      <w:pPr>
        <w:rPr>
          <w:rFonts w:ascii="Bell MT" w:hAnsi="Bell MT" w:cs="Bell MT"/>
          <w:sz w:val="20"/>
          <w:szCs w:val="20"/>
        </w:rPr>
      </w:pPr>
      <w:r>
        <w:rPr>
          <w:rFonts w:ascii="Bell MT" w:hAnsi="Bell MT" w:cs="Bell MT"/>
          <w:b w:val="0"/>
          <w:i w:val="0"/>
          <w:sz w:val="20"/>
        </w:rPr>
        <w:t>If patients are not quite 50% better, no better, or worse, we have some alternative options. These options generally include:</w:t>
      </w:r>
    </w:p>
    <w:p>
      <w:pPr>
        <w:pStyle w:val="ListParagraph"/>
        <w:rPr>
          <w:rFonts w:ascii="Bell MT" w:hAnsi="Bell MT" w:cs="Bell MT"/>
          <w:sz w:val="20"/>
          <w:szCs w:val="20"/>
        </w:rPr>
        <w:numPr>
          <w:ilvl w:val="0"/>
          <w:numId w:val="2"/>
        </w:numPr>
      </w:pPr>
      <w:r>
        <w:rPr>
          <w:rFonts w:ascii="Bell MT" w:hAnsi="Bell MT" w:cs="Bell MT"/>
          <w:b/>
          <w:sz w:val="20"/>
        </w:rPr>
        <w:t>Formal Physical Therapy:</w:t>
      </w:r>
      <w:r>
        <w:rPr>
          <w:rFonts w:ascii="Bell MT" w:hAnsi="Bell MT" w:cs="Bell MT"/>
          <w:sz w:val="20"/>
        </w:rPr>
        <w:t xml:space="preserve"> Physical therapy is one of the most important second-tier treatments for ankle sprains. Therapy helps restore motion, strength, balance, proprioception, and confidence. This is especially important for athletes, active patients, or anyone who feels unstable.</w:t>
      </w:r>
    </w:p>
    <w:p>
      <w:pPr>
        <w:pStyle w:val="ListParagraph"/>
        <w:rPr>
          <w:rFonts w:ascii="Bell MT" w:hAnsi="Bell MT" w:cs="Bell MT"/>
          <w:sz w:val="20"/>
          <w:szCs w:val="20"/>
        </w:rPr>
        <w:numPr>
          <w:ilvl w:val="0"/>
          <w:numId w:val="2"/>
        </w:numPr>
      </w:pPr>
      <w:r>
        <w:rPr>
          <w:rFonts w:ascii="Bell MT" w:hAnsi="Bell MT" w:cs="Bell MT"/>
          <w:b/>
          <w:sz w:val="20"/>
        </w:rPr>
        <w:t>Repeat Exam and Imaging:</w:t>
      </w:r>
      <w:r>
        <w:rPr>
          <w:rFonts w:ascii="Bell MT" w:hAnsi="Bell MT" w:cs="Bell MT"/>
          <w:sz w:val="20"/>
        </w:rPr>
        <w:t xml:space="preserve"> If pain is not improving, if swelling remains significant, or if the ankle feels unstable, we may repeat x-rays or consider MRI. MRI helps evaluate ligament tearing, cartilage injury, bone bruising, tendon injury, syndesmotic or high ankle sprain, and occult fracture.</w:t>
      </w:r>
    </w:p>
    <w:p>
      <w:pPr>
        <w:pStyle w:val="ListParagraph"/>
        <w:rPr>
          <w:rFonts w:ascii="Bell MT" w:hAnsi="Bell MT" w:cs="Bell MT"/>
          <w:sz w:val="20"/>
          <w:szCs w:val="20"/>
        </w:rPr>
        <w:numPr>
          <w:ilvl w:val="0"/>
          <w:numId w:val="2"/>
        </w:numPr>
      </w:pPr>
      <w:r>
        <w:rPr>
          <w:rFonts w:ascii="Bell MT" w:hAnsi="Bell MT" w:cs="Bell MT"/>
          <w:b/>
          <w:sz w:val="20"/>
        </w:rPr>
        <w:t>Bracing Strategy:</w:t>
      </w:r>
      <w:r>
        <w:rPr>
          <w:rFonts w:ascii="Bell MT" w:hAnsi="Bell MT" w:cs="Bell MT"/>
          <w:sz w:val="20"/>
        </w:rPr>
        <w:t xml:space="preserve"> A lace-up ankle brace may be used during the transition back to normal shoes and activity. For recurrent sprains, bracing during sports or uneven terrain can provide meaningful prevention while the ankle is being strengthened.</w:t>
      </w:r>
    </w:p>
    <w:p>
      <w:pPr>
        <w:pStyle w:val="ListParagraph"/>
        <w:rPr>
          <w:rFonts w:ascii="Bell MT" w:hAnsi="Bell MT" w:cs="Bell MT"/>
          <w:sz w:val="20"/>
          <w:szCs w:val="20"/>
        </w:rPr>
        <w:numPr>
          <w:ilvl w:val="0"/>
          <w:numId w:val="2"/>
        </w:numPr>
      </w:pPr>
      <w:r>
        <w:rPr>
          <w:rFonts w:ascii="Bell MT" w:hAnsi="Bell MT" w:cs="Bell MT"/>
          <w:b/>
          <w:sz w:val="20"/>
        </w:rPr>
        <w:t>Continued Immobilization:</w:t>
      </w:r>
      <w:r>
        <w:rPr>
          <w:rFonts w:ascii="Bell MT" w:hAnsi="Bell MT" w:cs="Bell MT"/>
          <w:sz w:val="20"/>
        </w:rPr>
        <w:t xml:space="preserve"> If symptoms are still significant, we may continue boot protection longer or restart immobilization if the ankle was stressed too quickly. This is more common when there is a high ankle sprain, bone bruise, tendon injury, or significant ligament injury.</w:t>
      </w:r>
    </w:p>
    <w:p>
      <w:pPr>
        <w:pStyle w:val="ListParagraph"/>
        <w:rPr>
          <w:rFonts w:ascii="Bell MT" w:hAnsi="Bell MT" w:cs="Bell MT"/>
          <w:sz w:val="20"/>
          <w:szCs w:val="20"/>
        </w:rPr>
        <w:numPr>
          <w:ilvl w:val="0"/>
          <w:numId w:val="2"/>
        </w:numPr>
      </w:pPr>
      <w:r>
        <w:rPr>
          <w:rFonts w:ascii="Bell MT" w:hAnsi="Bell MT" w:cs="Bell MT"/>
          <w:b/>
          <w:sz w:val="20"/>
        </w:rPr>
        <w:t>Injection:</w:t>
      </w:r>
      <w:r>
        <w:rPr>
          <w:rFonts w:ascii="Bell MT" w:hAnsi="Bell MT" w:cs="Bell MT"/>
          <w:sz w:val="20"/>
        </w:rPr>
        <w:t xml:space="preserve"> Injections are not the main treatment for a routine ankle sprain, but can be discussed selectively if there is persistent joint inflammation, synovitis, or impingement after the ligament injury has had time to heal.</w:t>
      </w:r>
    </w:p>
    <w:p>
      <w:pPr>
        <w:rPr>
          <w:rFonts w:ascii="Bell MT" w:hAnsi="Bell MT" w:cs="Bell MT"/>
          <w:sz w:val="20"/>
          <w:szCs w:val="20"/>
        </w:rPr>
      </w:pPr>
      <w:r>
        <w:rPr>
          <w:rFonts w:ascii="Bell MT" w:hAnsi="Bell MT" w:cs="Bell MT"/>
          <w:b w:val="0"/>
          <w:i w:val="0"/>
          <w:sz w:val="20"/>
        </w:rPr>
        <w:t>*In the event of inability to bear weight, worsening bruising, calf pain, numbness, obvious deformity, or the ankle repeatedly giving way, patients should contact the office sooner rather than waiting for routine follow up.</w:t>
      </w:r>
    </w:p>
    <w:p>
      <w:pPr>
        <w:rPr>
          <w:rFonts w:ascii="Bell MT" w:hAnsi="Bell MT" w:cs="Bell MT"/>
          <w:sz w:val="20"/>
          <w:szCs w:val="20"/>
        </w:rPr>
      </w:pPr>
    </w:p>
    <w:p>
      <w:pPr>
        <w:rPr>
          <w:rFonts w:ascii="Bell MT" w:hAnsi="Bell MT" w:cs="Bell MT"/>
          <w:sz w:val="20"/>
          <w:szCs w:val="20"/>
        </w:rPr>
      </w:pPr>
      <w:r>
        <w:rPr>
          <w:rFonts w:ascii="Bell MT" w:hAnsi="Bell MT" w:cs="Bell MT"/>
          <w:b/>
        </w:rPr>
        <w:t>2</w:t>
      </w:r>
      <w:r>
        <w:rPr>
          <w:rFonts w:ascii="Bell MT" w:hAnsi="Bell MT" w:cs="Bell MT"/>
          <w:b/>
        </w:rPr>
        <w:t>nd</w:t>
      </w:r>
      <w:r>
        <w:rPr>
          <w:rFonts w:ascii="Bell MT" w:hAnsi="Bell MT" w:cs="Bell MT"/>
          <w:b/>
        </w:rPr>
        <w:t xml:space="preserve"> Follow Up:</w:t>
      </w:r>
      <w:r>
        <w:rPr>
          <w:rFonts w:ascii="Bell MT" w:hAnsi="Bell MT" w:cs="Bell MT"/>
          <w:sz w:val="20"/>
        </w:rPr>
        <w:t xml:space="preserve"> We expect significant improvement and transition toward long term prevention at this point. If symptoms are improving, the conversation shifts to return to activity, brace weaning, sports-specific progression, and prevention. If patients continue to feel unstable, repeatedly roll the ankle, or have persistent deep ankle pain despite appropriate rehab, we may move toward MRI review and surgical discussion.</w:t>
      </w:r>
    </w:p>
    <w:p>
      <w:pPr>
        <w:rPr>
          <w:rFonts w:ascii="Bell MT" w:hAnsi="Bell MT" w:cs="Bell MT"/>
          <w:sz w:val="20"/>
          <w:szCs w:val="20"/>
        </w:rPr>
      </w:pPr>
      <w:r>
        <w:rPr>
          <w:rFonts w:ascii="Bell MT" w:hAnsi="Bell MT" w:cs="Bell MT"/>
          <w:b w:val="0"/>
          <w:i w:val="0"/>
          <w:sz w:val="20"/>
        </w:rPr>
        <w:t>Typical surgical options include ankle arthroscopy if there is scar tissue, synovitis, cartilage injury, or impingement, and lateral ankle ligament repair, commonly referred to as a Brostrom-type repair, when the ankle remains unstable. In some cases, an internal brace augmentation, peroneal tendon repair, or treatment of cartilage injury may be performed at the same time. Recovery varies by procedure, but many patients are protected in a splint, cast, or boot initially, then transition to a brace and physical therapy. Walking in a boot often begins within the first several weeks depending on the repair. Day-to-day improvement is usually meaningful by 8-12 weeks, while return to running, cutting, and sports commonly takes 4-6 months.</w:t>
      </w:r>
    </w:p>
    <w:p>
      <w:pPr>
        <w:rPr>
          <w:rFonts w:ascii="Bell MT" w:hAnsi="Bell MT" w:cs="Bell MT"/>
          <w:sz w:val="20"/>
          <w:szCs w:val="20"/>
        </w:rPr>
      </w:pPr>
    </w:p>
    <w:p>
      <w:pPr>
        <w:rPr>
          <w:rFonts w:ascii="Bell MT" w:hAnsi="Bell MT" w:cs="Bell MT"/>
          <w:sz w:val="20"/>
          <w:szCs w:val="20"/>
        </w:rPr>
      </w:pPr>
      <w:r>
        <w:rPr>
          <w:rFonts w:ascii="Bell MT" w:hAnsi="Bell MT" w:cs="Bell MT"/>
          <w:b w:val="0"/>
          <w:i w:val="0"/>
          <w:sz w:val="20"/>
        </w:rPr>
        <w:t xml:space="preserve">Side Notes: </w:t>
      </w:r>
    </w:p>
    <w:p>
      <w:pPr>
        <w:pStyle w:val="ListParagraph"/>
        <w:rPr>
          <w:rFonts w:ascii="Bell MT" w:hAnsi="Bell MT" w:cs="Bell MT"/>
          <w:sz w:val="20"/>
          <w:szCs w:val="20"/>
        </w:rPr>
        <w:numPr>
          <w:ilvl w:val="0"/>
          <w:numId w:val="3"/>
        </w:numPr>
      </w:pPr>
      <w:r>
        <w:rPr>
          <w:rFonts w:ascii="Bell MT" w:hAnsi="Bell MT" w:cs="Bell MT"/>
          <w:b/>
          <w:sz w:val="20"/>
        </w:rPr>
        <w:t>Feeling better is not the same as being stable:</w:t>
      </w:r>
      <w:r>
        <w:rPr>
          <w:rFonts w:ascii="Bell MT" w:hAnsi="Bell MT" w:cs="Bell MT"/>
          <w:sz w:val="20"/>
        </w:rPr>
        <w:t xml:space="preserve"> Pain may improve before balance and ligament control return. This is why rehab and bracing matter even when the ankle starts to feel better.</w:t>
      </w:r>
    </w:p>
    <w:p>
      <w:pPr>
        <w:pStyle w:val="ListParagraph"/>
        <w:rPr>
          <w:rFonts w:ascii="Bell MT" w:hAnsi="Bell MT" w:cs="Bell MT"/>
          <w:sz w:val="20"/>
          <w:szCs w:val="20"/>
        </w:rPr>
        <w:numPr>
          <w:ilvl w:val="0"/>
          <w:numId w:val="3"/>
        </w:numPr>
      </w:pPr>
      <w:r>
        <w:rPr>
          <w:rFonts w:ascii="Bell MT" w:hAnsi="Bell MT" w:cs="Bell MT"/>
          <w:b/>
          <w:sz w:val="20"/>
        </w:rPr>
        <w:t>High ankle sprains are different:</w:t>
      </w:r>
      <w:r>
        <w:rPr>
          <w:rFonts w:ascii="Bell MT" w:hAnsi="Bell MT" w:cs="Bell MT"/>
          <w:sz w:val="20"/>
        </w:rPr>
        <w:t xml:space="preserve"> Pain above the ankle joint, pain with rotation, or a slow recovery may suggest syndesmotic injury. These often require a longer recovery and sometimes different imaging or surgical planning.</w:t>
      </w:r>
    </w:p>
    <w:p>
      <w:pPr>
        <w:pStyle w:val="ListParagraph"/>
        <w:rPr>
          <w:rFonts w:ascii="Bell MT" w:hAnsi="Bell MT" w:cs="Bell MT"/>
          <w:sz w:val="20"/>
          <w:szCs w:val="20"/>
        </w:rPr>
        <w:numPr>
          <w:ilvl w:val="0"/>
          <w:numId w:val="3"/>
        </w:numPr>
      </w:pPr>
      <w:r>
        <w:rPr>
          <w:rFonts w:ascii="Bell MT" w:hAnsi="Bell MT" w:cs="Bell MT"/>
          <w:b/>
          <w:sz w:val="20"/>
        </w:rPr>
        <w:t>Recurrent sprains deserve attention:</w:t>
      </w:r>
      <w:r>
        <w:rPr>
          <w:rFonts w:ascii="Bell MT" w:hAnsi="Bell MT" w:cs="Bell MT"/>
          <w:sz w:val="20"/>
        </w:rPr>
        <w:t xml:space="preserve"> Repeated ankle rolling can damage cartilage, stretch ligaments further, irritate tendons, and eventually create arthritis or chronic instability.</w:t>
      </w:r>
    </w:p>
    <w:p>
      <w:pPr>
        <w:rPr>
          <w:rFonts w:ascii="Bell MT" w:hAnsi="Bell MT" w:cs="Bell MT"/>
          <w:sz w:val="20"/>
          <w:szCs w:val="20"/>
        </w:rPr>
      </w:pPr>
    </w:p>
    <w:p>
      <w:pPr>
        <w:rPr>
          <w:rFonts w:ascii="Bell MT" w:hAnsi="Bell MT" w:cs="Bell MT"/>
        </w:rPr>
      </w:pPr>
      <w:r>
        <w:rPr>
          <w:rFonts w:ascii="Bell MT" w:hAnsi="Bell MT" w:cs="Bell MT"/>
          <w:b/>
          <w:i w:val="0"/>
        </w:rPr>
        <w:t>Early Ankle Rehab Rules:</w:t>
      </w:r>
    </w:p>
    <w:p>
      <w:pPr>
        <w:pStyle w:val="ListParagraph"/>
        <w:rPr>
          <w:rFonts w:ascii="Bell MT" w:hAnsi="Bell MT" w:cs="Bell MT"/>
        </w:rPr>
        <w:numPr>
          <w:ilvl w:val="0"/>
          <w:numId w:val="5"/>
        </w:numPr>
      </w:pPr>
      <w:r>
        <w:rPr>
          <w:rFonts w:ascii="Bell MT" w:hAnsi="Bell MT" w:cs="Bell MT"/>
        </w:rPr>
        <w:t>Protect the ankle with the boot or brace recommended at the visit.</w:t>
      </w:r>
    </w:p>
    <w:p>
      <w:pPr>
        <w:pStyle w:val="ListParagraph"/>
        <w:rPr>
          <w:rFonts w:ascii="Bell MT" w:hAnsi="Bell MT" w:cs="Bell MT"/>
        </w:rPr>
        <w:numPr>
          <w:ilvl w:val="0"/>
          <w:numId w:val="5"/>
        </w:numPr>
      </w:pPr>
      <w:r>
        <w:rPr>
          <w:rFonts w:ascii="Bell MT" w:hAnsi="Bell MT" w:cs="Bell MT"/>
        </w:rPr>
        <w:t>Use ice and elevation after activity, usually 10-15 minutes at a time.</w:t>
      </w:r>
    </w:p>
    <w:p>
      <w:pPr>
        <w:pStyle w:val="ListParagraph"/>
        <w:rPr>
          <w:rFonts w:ascii="Bell MT" w:hAnsi="Bell MT" w:cs="Bell MT"/>
        </w:rPr>
        <w:numPr>
          <w:ilvl w:val="0"/>
          <w:numId w:val="5"/>
        </w:numPr>
      </w:pPr>
      <w:r>
        <w:rPr>
          <w:rFonts w:ascii="Bell MT" w:hAnsi="Bell MT" w:cs="Bell MT"/>
        </w:rPr>
        <w:t>Begin gentle up-and-down motion as pain allows, unless told otherwise.</w:t>
      </w:r>
    </w:p>
    <w:p>
      <w:pPr>
        <w:pStyle w:val="ListParagraph"/>
        <w:rPr>
          <w:rFonts w:ascii="Bell MT" w:hAnsi="Bell MT" w:cs="Bell MT"/>
        </w:rPr>
        <w:numPr>
          <w:ilvl w:val="0"/>
          <w:numId w:val="5"/>
        </w:numPr>
      </w:pPr>
      <w:r>
        <w:rPr>
          <w:rFonts w:ascii="Bell MT" w:hAnsi="Bell MT" w:cs="Bell MT"/>
        </w:rPr>
        <w:t>Do not return to running, jumping, sports, or uneven ground just because walking feels better.</w:t>
      </w:r>
    </w:p>
    <w:p>
      <w:pPr>
        <w:pStyle w:val="ListParagraph"/>
        <w:rPr>
          <w:rFonts w:ascii="Bell MT" w:hAnsi="Bell MT" w:cs="Bell MT"/>
        </w:rPr>
        <w:numPr>
          <w:ilvl w:val="0"/>
          <w:numId w:val="5"/>
        </w:numPr>
      </w:pPr>
      <w:r>
        <w:rPr>
          <w:rFonts w:ascii="Bell MT" w:hAnsi="Bell MT" w:cs="Bell MT"/>
        </w:rPr>
        <w:t>Use a lace-up brace during the transition back to activity if recommended.</w:t>
      </w:r>
    </w:p>
    <w:p>
      <w:pPr>
        <w:pStyle w:val="ListParagraph"/>
        <w:rPr>
          <w:rFonts w:ascii="Bell MT" w:hAnsi="Bell MT" w:cs="Bell MT"/>
        </w:rPr>
        <w:numPr>
          <w:ilvl w:val="0"/>
          <w:numId w:val="5"/>
        </w:numPr>
      </w:pPr>
      <w:r>
        <w:rPr>
          <w:rFonts w:ascii="Bell MT" w:hAnsi="Bell MT" w:cs="Bell MT"/>
        </w:rPr>
        <w:t>Contact the office sooner if the ankle repeatedly gives way or symptoms worsen instead of gradually improving.</w:t>
      </w:r>
    </w:p>
    <w:sectPr w:rsidR="007625A0" w:rsidRPr="00282DB7">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B6F39" w14:textId="77777777" w:rsidR="00C40A8E" w:rsidRDefault="00C40A8E" w:rsidP="003A0AD4">
      <w:pPr>
        <w:spacing w:after="0" w:line="240" w:lineRule="auto"/>
      </w:pPr>
      <w:r>
        <w:separator/>
      </w:r>
    </w:p>
  </w:endnote>
  <w:endnote w:type="continuationSeparator" w:id="0">
    <w:p w14:paraId="1F767D64" w14:textId="77777777" w:rsidR="00C40A8E" w:rsidRDefault="00C40A8E" w:rsidP="003A0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ell MT">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B5692" w14:textId="77777777" w:rsidR="003A0AD4" w:rsidRPr="003A0AD4" w:rsidRDefault="003A0AD4" w:rsidP="003A0AD4">
    <w:pPr>
      <w:rPr>
        <w:sz w:val="12"/>
        <w:szCs w:val="12"/>
      </w:rPr>
    </w:pPr>
    <w:r w:rsidRPr="003A0AD4">
      <w:rPr>
        <w:sz w:val="12"/>
        <w:szCs w:val="12"/>
      </w:rPr>
      <w:t>*Disclaimer: This handout is educational content only and is designed to function as a point of reference and generalized recommendations. This document is in no way intended to replace, provide, or offer formal medical treatment or provide official medical advice. Please always defer to your physician and/or treating provider regarding formal diagnosis and treatment recommendations.</w:t>
    </w:r>
  </w:p>
  <w:p w14:paraId="07401A2F" w14:textId="77777777" w:rsidR="003A0AD4" w:rsidRDefault="003A0A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1BA30" w14:textId="77777777" w:rsidR="00C40A8E" w:rsidRDefault="00C40A8E" w:rsidP="003A0AD4">
      <w:pPr>
        <w:spacing w:after="0" w:line="240" w:lineRule="auto"/>
      </w:pPr>
      <w:r>
        <w:separator/>
      </w:r>
    </w:p>
  </w:footnote>
  <w:footnote w:type="continuationSeparator" w:id="0">
    <w:p w14:paraId="3BE34B9A" w14:textId="77777777" w:rsidR="00C40A8E" w:rsidRDefault="00C40A8E" w:rsidP="003A0A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A6BA4" w14:textId="77777777" w:rsidR="003A0AD4" w:rsidRDefault="003A0AD4" w:rsidP="003A0AD4">
    <w:pPr>
      <w:pStyle w:val="NoSpacing"/>
      <w:jc w:val="center"/>
      <w:rPr>
        <w:rFonts w:ascii="Bell MT" w:hAnsi="Bell MT"/>
      </w:rPr>
    </w:pPr>
    <w:r>
      <w:rPr>
        <w:rFonts w:ascii="Bell MT" w:hAnsi="Bell MT"/>
      </w:rPr>
      <w:t>Dr. Dalton Ryba, DPM FACFAS</w:t>
    </w:r>
  </w:p>
  <w:p w14:paraId="60201CD6" w14:textId="77777777" w:rsidR="003A0AD4" w:rsidRDefault="003A0AD4" w:rsidP="003A0AD4">
    <w:pPr>
      <w:pStyle w:val="NoSpacing"/>
      <w:jc w:val="center"/>
      <w:rPr>
        <w:rFonts w:ascii="Bell MT" w:hAnsi="Bell MT"/>
      </w:rPr>
    </w:pPr>
    <w:r>
      <w:rPr>
        <w:rFonts w:ascii="Bell MT" w:hAnsi="Bell MT"/>
      </w:rPr>
      <w:t>Lone Star Orthopaedics and Spine Specialists, PLLC</w:t>
    </w:r>
  </w:p>
  <w:p w14:paraId="4AFF28AA" w14:textId="77777777" w:rsidR="003A0AD4" w:rsidRDefault="003A0AD4" w:rsidP="003A0AD4">
    <w:pPr>
      <w:pStyle w:val="NoSpacing"/>
      <w:jc w:val="center"/>
      <w:rPr>
        <w:rFonts w:ascii="Bell MT" w:hAnsi="Bell MT"/>
      </w:rPr>
    </w:pPr>
    <w:r>
      <w:rPr>
        <w:rFonts w:ascii="Bell MT" w:hAnsi="Bell MT"/>
      </w:rPr>
      <w:t>Fortworthfootdoctor.com</w:t>
    </w:r>
  </w:p>
  <w:p w14:paraId="22D0F73B" w14:textId="77777777" w:rsidR="003A0AD4" w:rsidRDefault="003A0A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4109E"/>
    <w:multiLevelType w:val="hybridMultilevel"/>
    <w:tmpl w:val="7FB259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9D05BA"/>
    <w:multiLevelType w:val="hybridMultilevel"/>
    <w:tmpl w:val="0BC022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93F6EE0"/>
    <w:multiLevelType w:val="hybridMultilevel"/>
    <w:tmpl w:val="E390BA6A"/>
    <w:lvl w:ilvl="0" w:tplc="E9DAE7DE">
      <w:start w:val="1"/>
      <w:numFmt w:val="lowerLetter"/>
      <w:lvlText w:val="%1."/>
      <w:lvlJc w:val="left"/>
      <w:pPr>
        <w:ind w:left="720" w:hanging="360"/>
      </w:pPr>
      <w:rPr>
        <w:rFonts w:ascii="Bell MT" w:hAnsi="Bell M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F23EE4"/>
    <w:multiLevelType w:val="hybridMultilevel"/>
    <w:tmpl w:val="70ACED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A1845D5"/>
    <w:multiLevelType w:val="hybridMultilevel"/>
    <w:tmpl w:val="B1DCB6A4"/>
    <w:lvl w:ilvl="0" w:tplc="1220AAE6">
      <w:start w:val="1"/>
      <w:numFmt w:val="decimal"/>
      <w:lvlText w:val="%1."/>
      <w:lvlJc w:val="left"/>
      <w:pPr>
        <w:ind w:left="1080" w:hanging="360"/>
      </w:pPr>
      <w:rPr>
        <w:rFonts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12072943">
    <w:abstractNumId w:val="4"/>
  </w:num>
  <w:num w:numId="2" w16cid:durableId="992173860">
    <w:abstractNumId w:val="3"/>
  </w:num>
  <w:num w:numId="3" w16cid:durableId="1585727004">
    <w:abstractNumId w:val="2"/>
  </w:num>
  <w:num w:numId="4" w16cid:durableId="205456535">
    <w:abstractNumId w:val="0"/>
  </w:num>
  <w:num w:numId="5" w16cid:durableId="2013293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FBD"/>
    <w:rsid w:val="000624A7"/>
    <w:rsid w:val="00282DB7"/>
    <w:rsid w:val="00316550"/>
    <w:rsid w:val="00342E10"/>
    <w:rsid w:val="003A0AD4"/>
    <w:rsid w:val="00423FBD"/>
    <w:rsid w:val="00547A1D"/>
    <w:rsid w:val="00637C99"/>
    <w:rsid w:val="00693585"/>
    <w:rsid w:val="00743E8A"/>
    <w:rsid w:val="00755EB4"/>
    <w:rsid w:val="007625A0"/>
    <w:rsid w:val="008C2931"/>
    <w:rsid w:val="008C368F"/>
    <w:rsid w:val="009B5D0A"/>
    <w:rsid w:val="00BB68EE"/>
    <w:rsid w:val="00C40A8E"/>
    <w:rsid w:val="00CD31B5"/>
    <w:rsid w:val="00D37C41"/>
    <w:rsid w:val="00DD060C"/>
    <w:rsid w:val="00DF0A2D"/>
    <w:rsid w:val="00DF20E4"/>
    <w:rsid w:val="00EC1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4C3BA"/>
  <w15:chartTrackingRefBased/>
  <w15:docId w15:val="{92CD7726-8D70-4293-BF20-2BD6E8655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F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3F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3F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3F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3F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3F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F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F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F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F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3F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3F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3F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3F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3F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F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F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FBD"/>
    <w:rPr>
      <w:rFonts w:eastAsiaTheme="majorEastAsia" w:cstheme="majorBidi"/>
      <w:color w:val="272727" w:themeColor="text1" w:themeTint="D8"/>
    </w:rPr>
  </w:style>
  <w:style w:type="paragraph" w:styleId="Title">
    <w:name w:val="Title"/>
    <w:basedOn w:val="Normal"/>
    <w:next w:val="Normal"/>
    <w:link w:val="TitleChar"/>
    <w:uiPriority w:val="10"/>
    <w:qFormat/>
    <w:rsid w:val="00423F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F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F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F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FBD"/>
    <w:pPr>
      <w:spacing w:before="160"/>
      <w:jc w:val="center"/>
    </w:pPr>
    <w:rPr>
      <w:i/>
      <w:iCs/>
      <w:color w:val="404040" w:themeColor="text1" w:themeTint="BF"/>
    </w:rPr>
  </w:style>
  <w:style w:type="character" w:customStyle="1" w:styleId="QuoteChar">
    <w:name w:val="Quote Char"/>
    <w:basedOn w:val="DefaultParagraphFont"/>
    <w:link w:val="Quote"/>
    <w:uiPriority w:val="29"/>
    <w:rsid w:val="00423FBD"/>
    <w:rPr>
      <w:i/>
      <w:iCs/>
      <w:color w:val="404040" w:themeColor="text1" w:themeTint="BF"/>
    </w:rPr>
  </w:style>
  <w:style w:type="paragraph" w:styleId="ListParagraph">
    <w:name w:val="List Paragraph"/>
    <w:basedOn w:val="Normal"/>
    <w:uiPriority w:val="34"/>
    <w:qFormat/>
    <w:rsid w:val="00423FBD"/>
    <w:pPr>
      <w:ind w:left="720"/>
      <w:contextualSpacing/>
    </w:pPr>
  </w:style>
  <w:style w:type="character" w:styleId="IntenseEmphasis">
    <w:name w:val="Intense Emphasis"/>
    <w:basedOn w:val="DefaultParagraphFont"/>
    <w:uiPriority w:val="21"/>
    <w:qFormat/>
    <w:rsid w:val="00423FBD"/>
    <w:rPr>
      <w:i/>
      <w:iCs/>
      <w:color w:val="0F4761" w:themeColor="accent1" w:themeShade="BF"/>
    </w:rPr>
  </w:style>
  <w:style w:type="paragraph" w:styleId="IntenseQuote">
    <w:name w:val="Intense Quote"/>
    <w:basedOn w:val="Normal"/>
    <w:next w:val="Normal"/>
    <w:link w:val="IntenseQuoteChar"/>
    <w:uiPriority w:val="30"/>
    <w:qFormat/>
    <w:rsid w:val="00423F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3FBD"/>
    <w:rPr>
      <w:i/>
      <w:iCs/>
      <w:color w:val="0F4761" w:themeColor="accent1" w:themeShade="BF"/>
    </w:rPr>
  </w:style>
  <w:style w:type="character" w:styleId="IntenseReference">
    <w:name w:val="Intense Reference"/>
    <w:basedOn w:val="DefaultParagraphFont"/>
    <w:uiPriority w:val="32"/>
    <w:qFormat/>
    <w:rsid w:val="00423FBD"/>
    <w:rPr>
      <w:b/>
      <w:bCs/>
      <w:smallCaps/>
      <w:color w:val="0F4761" w:themeColor="accent1" w:themeShade="BF"/>
      <w:spacing w:val="5"/>
    </w:rPr>
  </w:style>
  <w:style w:type="paragraph" w:styleId="NoSpacing">
    <w:name w:val="No Spacing"/>
    <w:uiPriority w:val="1"/>
    <w:qFormat/>
    <w:rsid w:val="00423FBD"/>
    <w:pPr>
      <w:spacing w:after="0" w:line="240" w:lineRule="auto"/>
    </w:pPr>
  </w:style>
  <w:style w:type="paragraph" w:styleId="Header">
    <w:name w:val="header"/>
    <w:basedOn w:val="Normal"/>
    <w:link w:val="HeaderChar"/>
    <w:uiPriority w:val="99"/>
    <w:unhideWhenUsed/>
    <w:rsid w:val="003A0A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0AD4"/>
  </w:style>
  <w:style w:type="paragraph" w:styleId="Footer">
    <w:name w:val="footer"/>
    <w:basedOn w:val="Normal"/>
    <w:link w:val="FooterChar"/>
    <w:uiPriority w:val="99"/>
    <w:unhideWhenUsed/>
    <w:rsid w:val="003A0A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0A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3</Pages>
  <Words>1218</Words>
  <Characters>6949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Dalton Ryba</dc:creator>
  <cp:keywords/>
  <dc:description/>
  <cp:lastModifiedBy>Dalton Ryba</cp:lastModifiedBy>
  <cp:revision>10</cp:revision>
  <dcterms:created xsi:type="dcterms:W3CDTF">2026-07-20T13:12:00Z</dcterms:created>
  <dcterms:modified xsi:type="dcterms:W3CDTF">2026-07-20T15:44:00Z</dcterms:modified>
</cp:coreProperties>
</file>