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Spacing"/>
        <w:jc w:val="center"/>
        <w:rPr>
          <w:rFonts w:ascii="Bell MT" w:hAnsi="Bell MT" w:cs="Bell MT"/>
        </w:rPr>
      </w:pPr>
      <w:r>
        <w:rPr>
          <w:rFonts w:ascii="Bell MT" w:hAnsi="Bell MT" w:cs="Bell MT"/>
        </w:rPr>
        <w:t>Stress Fracture Protocol</w:t>
      </w:r>
    </w:p>
    <w:p>
      <w:pPr>
        <w:pStyle w:val="NoSpacing"/>
        <w:jc w:val="center"/>
        <w:rPr>
          <w:rFonts w:ascii="Bell MT" w:hAnsi="Bell MT" w:cs="Bell MT"/>
        </w:rPr>
      </w:pPr>
    </w:p>
    <w:p>
      <w:pPr>
        <w:rPr>
          <w:rFonts w:ascii="Bell MT" w:hAnsi="Bell MT" w:cs="Bell MT"/>
          <w:sz w:val="20"/>
          <w:szCs w:val="20"/>
        </w:rPr>
      </w:pPr>
      <w:r>
        <w:rPr>
          <w:rFonts w:ascii="Bell MT" w:hAnsi="Bell MT" w:cs="Bell MT"/>
          <w:b/>
        </w:rPr>
        <w:t>Diagnosis Overview:</w:t>
      </w:r>
      <w:r>
        <w:rPr>
          <w:rFonts w:ascii="Bell MT" w:hAnsi="Bell MT" w:cs="Bell MT"/>
        </w:rPr>
        <w:t xml:space="preserve"> </w:t>
      </w:r>
      <w:r>
        <w:rPr>
          <w:rFonts w:ascii="Bell MT" w:hAnsi="Bell MT" w:cs="Bell MT"/>
          <w:sz w:val="20"/>
        </w:rPr>
        <w:t>A stress fracture is a small crack or stress injury in bone caused by repetitive overload. It often starts as aching pain with activity and can progress to pain with normal walking. In the foot and ankle, stress fractures are common in the metatarsals, heel bone, navicular, ankle, and other bones depending on activity and foot structure. The tricky part is that early stress fractures may not show up on x-ray right away, even when the symptoms are real.</w:t>
      </w:r>
    </w:p>
    <w:p>
      <w:pPr>
        <w:rPr>
          <w:rFonts w:ascii="Bell MT" w:hAnsi="Bell MT" w:cs="Bell MT"/>
          <w:sz w:val="20"/>
          <w:szCs w:val="20"/>
        </w:rPr>
      </w:pPr>
      <w:r>
        <w:rPr>
          <w:rFonts w:ascii="Bell MT" w:hAnsi="Bell MT" w:cs="Bell MT"/>
          <w:b/>
        </w:rPr>
        <w:t>Initial Visit:</w:t>
      </w:r>
      <w:r>
        <w:rPr>
          <w:rFonts w:ascii="Bell MT" w:hAnsi="Bell MT" w:cs="Bell MT"/>
        </w:rPr>
        <w:t xml:space="preserve"> </w:t>
      </w:r>
      <w:r>
        <w:rPr>
          <w:rFonts w:ascii="Bell MT" w:hAnsi="Bell MT" w:cs="Bell MT"/>
          <w:sz w:val="20"/>
        </w:rPr>
        <w:t>Initial treatment depends on the location of pain, swelling, activity level, risk factors, and x-rays. X-rays are commonly performed at the first visit, but a normal x-ray does not always rule out a stress fracture. If the exam is highly suspicious, we often treat it like a stress fracture even before it becomes visible on x-ray. If pain is significant, focal, or worsening with walking, we usually start with walking boot or post-op shoe immobilization. The typical early protection period is about 4-6 weeks, but higher-risk locations may require stricter non-weightbearing and closer follow up.</w:t>
      </w:r>
    </w:p>
    <w:p>
      <w:pPr>
        <w:pStyle w:val="ListParagraph"/>
        <w:rPr>
          <w:rFonts w:ascii="Bell MT" w:hAnsi="Bell MT" w:cs="Bell MT"/>
          <w:sz w:val="20"/>
          <w:szCs w:val="20"/>
        </w:rPr>
        <w:numPr>
          <w:ilvl w:val="0"/>
          <w:numId w:val="1"/>
        </w:numPr>
      </w:pPr>
      <w:r>
        <w:rPr>
          <w:rFonts w:ascii="Bell MT" w:hAnsi="Bell MT" w:cs="Bell MT"/>
          <w:b/>
          <w:sz w:val="20"/>
        </w:rPr>
        <w:t>Immobilization and Offloading:</w:t>
      </w:r>
      <w:r>
        <w:rPr>
          <w:rFonts w:ascii="Bell MT" w:hAnsi="Bell MT" w:cs="Bell MT"/>
          <w:sz w:val="20"/>
        </w:rPr>
        <w:t xml:space="preserve"> This is the main treatment. Bone needs stress reduction to heal. Depending on the bone involved, this may mean a post-op shoe, walking boot, crutches, knee scooter, or strict non-weightbearing. Pushing through a stress fracture can turn a small problem into a complete fracture or delayed healing problem.</w:t>
      </w:r>
    </w:p>
    <w:p>
      <w:pPr>
        <w:pStyle w:val="ListParagraph"/>
        <w:rPr>
          <w:rFonts w:ascii="Bell MT" w:hAnsi="Bell MT" w:cs="Bell MT"/>
          <w:sz w:val="20"/>
          <w:szCs w:val="20"/>
        </w:rPr>
        <w:numPr>
          <w:ilvl w:val="0"/>
          <w:numId w:val="1"/>
        </w:numPr>
      </w:pPr>
      <w:r>
        <w:rPr>
          <w:rFonts w:ascii="Bell MT" w:hAnsi="Bell MT" w:cs="Bell MT"/>
          <w:b/>
          <w:sz w:val="20"/>
        </w:rPr>
        <w:t>Activity Modification:</w:t>
      </w:r>
      <w:r>
        <w:rPr>
          <w:rFonts w:ascii="Bell MT" w:hAnsi="Bell MT" w:cs="Bell MT"/>
          <w:sz w:val="20"/>
        </w:rPr>
        <w:t xml:space="preserve"> Running, jumping, long walks, barefoot workouts, high-impact exercise, and painful lower body training should stop during the healing phase. Cross-training may be allowed only if it does not create pain at the fracture site. Pain is useful feedback here, and ignoring it usually extends the recovery.</w:t>
      </w:r>
    </w:p>
    <w:p>
      <w:pPr>
        <w:pStyle w:val="ListParagraph"/>
        <w:rPr>
          <w:rFonts w:ascii="Bell MT" w:hAnsi="Bell MT" w:cs="Bell MT"/>
          <w:sz w:val="20"/>
          <w:szCs w:val="20"/>
        </w:rPr>
        <w:numPr>
          <w:ilvl w:val="0"/>
          <w:numId w:val="1"/>
        </w:numPr>
      </w:pPr>
      <w:r>
        <w:rPr>
          <w:rFonts w:ascii="Bell MT" w:hAnsi="Bell MT" w:cs="Bell MT"/>
          <w:b/>
          <w:sz w:val="20"/>
        </w:rPr>
        <w:t>Bone Health and Risk Factors:</w:t>
      </w:r>
      <w:r>
        <w:rPr>
          <w:rFonts w:ascii="Bell MT" w:hAnsi="Bell MT" w:cs="Bell MT"/>
          <w:sz w:val="20"/>
        </w:rPr>
        <w:t xml:space="preserve"> We may discuss vitamin D, calcium intake, nutrition, training errors, shoe wear, menstrual or hormonal history when relevant, bone density risk, and medical conditions that affect healing. The goal is not just healing this fracture, but preventing the next one.</w:t>
      </w:r>
    </w:p>
    <w:p>
      <w:pPr>
        <w:rPr>
          <w:rFonts w:ascii="Bell MT" w:hAnsi="Bell MT" w:cs="Bell MT"/>
          <w:sz w:val="20"/>
          <w:szCs w:val="20"/>
        </w:rPr>
      </w:pPr>
    </w:p>
    <w:p>
      <w:pPr>
        <w:rPr>
          <w:rFonts w:ascii="Bell MT" w:hAnsi="Bell MT" w:cs="Bell MT"/>
          <w:sz w:val="20"/>
          <w:szCs w:val="20"/>
        </w:rPr>
      </w:pPr>
      <w:r>
        <w:rPr>
          <w:rFonts w:ascii="Bell MT" w:hAnsi="Bell MT" w:cs="Bell MT"/>
          <w:b/>
        </w:rPr>
        <w:t>1</w:t>
      </w:r>
      <w:r>
        <w:rPr>
          <w:rFonts w:ascii="Bell MT" w:hAnsi="Bell MT" w:cs="Bell MT"/>
          <w:b/>
        </w:rPr>
        <w:t>st</w:t>
      </w:r>
      <w:r>
        <w:rPr>
          <w:rFonts w:ascii="Bell MT" w:hAnsi="Bell MT" w:cs="Bell MT"/>
          <w:b/>
        </w:rPr>
        <w:t xml:space="preserve"> Follow Up:</w:t>
      </w:r>
      <w:r>
        <w:rPr>
          <w:rFonts w:ascii="Bell MT" w:hAnsi="Bell MT" w:cs="Bell MT"/>
          <w:sz w:val="20"/>
        </w:rPr>
        <w:t xml:space="preserve"> This is a progress visit rather than a simple comfort visit. If patients are clearly improving, less swollen, and less tender, we continue protection until walking is comfortable and the bone has had enough time to heal. Depending on the location, we may repeat x-rays because stress fracture changes can become more visible later.</w:t>
      </w:r>
    </w:p>
    <w:p>
      <w:pPr>
        <w:rPr>
          <w:rFonts w:ascii="Bell MT" w:hAnsi="Bell MT" w:cs="Bell MT"/>
          <w:sz w:val="20"/>
          <w:szCs w:val="20"/>
        </w:rPr>
      </w:pPr>
      <w:r>
        <w:rPr>
          <w:rFonts w:ascii="Bell MT" w:hAnsi="Bell MT" w:cs="Bell MT"/>
          <w:b w:val="0"/>
          <w:i w:val="0"/>
          <w:sz w:val="20"/>
        </w:rPr>
        <w:t>If patients are not quite 50% better, no better, or worse, we have some alternative options. These options generally include:</w:t>
      </w:r>
    </w:p>
    <w:p>
      <w:pPr>
        <w:pStyle w:val="ListParagraph"/>
        <w:rPr>
          <w:rFonts w:ascii="Bell MT" w:hAnsi="Bell MT" w:cs="Bell MT"/>
          <w:sz w:val="20"/>
          <w:szCs w:val="20"/>
        </w:rPr>
        <w:numPr>
          <w:ilvl w:val="0"/>
          <w:numId w:val="2"/>
        </w:numPr>
      </w:pPr>
      <w:r>
        <w:rPr>
          <w:rFonts w:ascii="Bell MT" w:hAnsi="Bell MT" w:cs="Bell MT"/>
          <w:b/>
          <w:sz w:val="20"/>
        </w:rPr>
        <w:t>Repeat X-rays:</w:t>
      </w:r>
      <w:r>
        <w:rPr>
          <w:rFonts w:ascii="Bell MT" w:hAnsi="Bell MT" w:cs="Bell MT"/>
          <w:sz w:val="20"/>
        </w:rPr>
        <w:t xml:space="preserve"> Repeat x-rays may show healing callus or changes that were not visible initially. This can help confirm the diagnosis and guide how long protection is needed.</w:t>
      </w:r>
    </w:p>
    <w:p>
      <w:pPr>
        <w:pStyle w:val="ListParagraph"/>
        <w:rPr>
          <w:rFonts w:ascii="Bell MT" w:hAnsi="Bell MT" w:cs="Bell MT"/>
          <w:sz w:val="20"/>
          <w:szCs w:val="20"/>
        </w:rPr>
        <w:numPr>
          <w:ilvl w:val="0"/>
          <w:numId w:val="2"/>
        </w:numPr>
      </w:pPr>
      <w:r>
        <w:rPr>
          <w:rFonts w:ascii="Bell MT" w:hAnsi="Bell MT" w:cs="Bell MT"/>
          <w:b/>
          <w:sz w:val="20"/>
        </w:rPr>
        <w:t>MRI:</w:t>
      </w:r>
      <w:r>
        <w:rPr>
          <w:rFonts w:ascii="Bell MT" w:hAnsi="Bell MT" w:cs="Bell MT"/>
          <w:sz w:val="20"/>
        </w:rPr>
        <w:t xml:space="preserve"> If x-rays are normal but symptoms remain highly suspicious, or if pain is not improving as expected, MRI is often the best next test. MRI can identify stress reaction, stress fracture, bone swelling, tendon injury, or alternative diagnoses much earlier than x-ray.</w:t>
      </w:r>
    </w:p>
    <w:p>
      <w:pPr>
        <w:pStyle w:val="ListParagraph"/>
        <w:rPr>
          <w:rFonts w:ascii="Bell MT" w:hAnsi="Bell MT" w:cs="Bell MT"/>
          <w:sz w:val="20"/>
          <w:szCs w:val="20"/>
        </w:rPr>
        <w:numPr>
          <w:ilvl w:val="0"/>
          <w:numId w:val="2"/>
        </w:numPr>
      </w:pPr>
      <w:r>
        <w:rPr>
          <w:rFonts w:ascii="Bell MT" w:hAnsi="Bell MT" w:cs="Bell MT"/>
          <w:b/>
          <w:sz w:val="20"/>
        </w:rPr>
        <w:t>Continued Immobilization:</w:t>
      </w:r>
      <w:r>
        <w:rPr>
          <w:rFonts w:ascii="Bell MT" w:hAnsi="Bell MT" w:cs="Bell MT"/>
          <w:sz w:val="20"/>
        </w:rPr>
        <w:t xml:space="preserve"> If pain is improving but not resolved, we often continue the boot or post-op shoe longer. Most routine low-risk stress fractures require several weeks of protection, and returning too early is a common reason symptoms come back.</w:t>
      </w:r>
    </w:p>
    <w:p>
      <w:pPr>
        <w:pStyle w:val="ListParagraph"/>
        <w:rPr>
          <w:rFonts w:ascii="Bell MT" w:hAnsi="Bell MT" w:cs="Bell MT"/>
          <w:sz w:val="20"/>
          <w:szCs w:val="20"/>
        </w:rPr>
        <w:numPr>
          <w:ilvl w:val="0"/>
          <w:numId w:val="2"/>
        </w:numPr>
      </w:pPr>
      <w:r>
        <w:rPr>
          <w:rFonts w:ascii="Bell MT" w:hAnsi="Bell MT" w:cs="Bell MT"/>
          <w:b/>
          <w:sz w:val="20"/>
        </w:rPr>
        <w:t>Non-weightbearing:</w:t>
      </w:r>
      <w:r>
        <w:rPr>
          <w:rFonts w:ascii="Bell MT" w:hAnsi="Bell MT" w:cs="Bell MT"/>
          <w:sz w:val="20"/>
        </w:rPr>
        <w:t xml:space="preserve"> Some stress fracture locations are higher risk for delayed healing or displacement. In those cases, we may require crutches, scooter, or stricter non-weightbearing even if the patient feels they can tolerate walking.</w:t>
      </w:r>
    </w:p>
    <w:p>
      <w:pPr>
        <w:pStyle w:val="ListParagraph"/>
        <w:rPr>
          <w:rFonts w:ascii="Bell MT" w:hAnsi="Bell MT" w:cs="Bell MT"/>
          <w:sz w:val="20"/>
          <w:szCs w:val="20"/>
        </w:rPr>
        <w:numPr>
          <w:ilvl w:val="0"/>
          <w:numId w:val="2"/>
        </w:numPr>
      </w:pPr>
      <w:r>
        <w:rPr>
          <w:rFonts w:ascii="Bell MT" w:hAnsi="Bell MT" w:cs="Bell MT"/>
          <w:b/>
          <w:sz w:val="20"/>
        </w:rPr>
        <w:t>Lab or Bone Health Workup:</w:t>
      </w:r>
      <w:r>
        <w:rPr>
          <w:rFonts w:ascii="Bell MT" w:hAnsi="Bell MT" w:cs="Bell MT"/>
          <w:sz w:val="20"/>
        </w:rPr>
        <w:t xml:space="preserve"> If stress fractures are recurrent, occur with low activity, or healing is delayed, vitamin D testing or a broader bone health workup may be discussed.</w:t>
      </w:r>
    </w:p>
    <w:p>
      <w:pPr>
        <w:rPr>
          <w:rFonts w:ascii="Bell MT" w:hAnsi="Bell MT" w:cs="Bell MT"/>
          <w:sz w:val="20"/>
          <w:szCs w:val="20"/>
        </w:rPr>
      </w:pPr>
      <w:r>
        <w:rPr>
          <w:rFonts w:ascii="Bell MT" w:hAnsi="Bell MT" w:cs="Bell MT"/>
          <w:b w:val="0"/>
          <w:i w:val="0"/>
          <w:sz w:val="20"/>
        </w:rPr>
        <w:t>*Patients should contact the office sooner if pain suddenly worsens, swelling increases, bruising develops, there is pain at rest or at night, or the patient can no longer bear weight.</w:t>
      </w:r>
    </w:p>
    <w:p>
      <w:pPr>
        <w:rPr>
          <w:rFonts w:ascii="Bell MT" w:hAnsi="Bell MT" w:cs="Bell MT"/>
          <w:sz w:val="20"/>
          <w:szCs w:val="20"/>
        </w:rPr>
      </w:pPr>
    </w:p>
    <w:p>
      <w:pPr>
        <w:rPr>
          <w:rFonts w:ascii="Bell MT" w:hAnsi="Bell MT" w:cs="Bell MT"/>
          <w:sz w:val="20"/>
          <w:szCs w:val="20"/>
        </w:rPr>
      </w:pPr>
      <w:r>
        <w:rPr>
          <w:rFonts w:ascii="Bell MT" w:hAnsi="Bell MT" w:cs="Bell MT"/>
          <w:b/>
        </w:rPr>
        <w:t>2</w:t>
      </w:r>
      <w:r>
        <w:rPr>
          <w:rFonts w:ascii="Bell MT" w:hAnsi="Bell MT" w:cs="Bell MT"/>
          <w:b/>
        </w:rPr>
        <w:t>nd</w:t>
      </w:r>
      <w:r>
        <w:rPr>
          <w:rFonts w:ascii="Bell MT" w:hAnsi="Bell MT" w:cs="Bell MT"/>
          <w:b/>
        </w:rPr>
        <w:t xml:space="preserve"> Follow Up:</w:t>
      </w:r>
      <w:r>
        <w:rPr>
          <w:rFonts w:ascii="Bell MT" w:hAnsi="Bell MT" w:cs="Bell MT"/>
          <w:sz w:val="20"/>
        </w:rPr>
        <w:t xml:space="preserve"> At the second follow up, the goal is to determine whether the bone has healed enough to start transitioning out of protection. If symptoms are significantly improved, we may transition from boot to supportive shoe, begin a gradual return to activity, and discuss prevention. If pain is still focal or returning with normal walking, we usually continue protection and reassess imaging. If the stress fracture is high risk, displaced, not healing, or recurrent, surgery may be considered.</w:t>
      </w:r>
    </w:p>
    <w:p>
      <w:pPr>
        <w:rPr>
          <w:rFonts w:ascii="Bell MT" w:hAnsi="Bell MT" w:cs="Bell MT"/>
          <w:sz w:val="20"/>
          <w:szCs w:val="20"/>
        </w:rPr>
      </w:pPr>
      <w:r>
        <w:rPr>
          <w:rFonts w:ascii="Bell MT" w:hAnsi="Bell MT" w:cs="Bell MT"/>
          <w:b w:val="0"/>
          <w:i w:val="0"/>
          <w:sz w:val="20"/>
        </w:rPr>
        <w:t>Typical surgical options depend on the bone involved. Some high-risk stress fractures, such as certain fifth metatarsal, navicular, or displaced fractures, may require screw fixation or other stabilization. Surgery is also considered for nonunion or delayed union when the bone is not healing appropriately. Recovery varies widely, but many surgically treated stress fractures require several weeks of protected or non-weightbearing, followed by boot protection, then gradual return to shoes and activity. Return to running or impact activity is usually measured in months, not days, and should not begin until pain, exam, and imaging support healing.</w:t>
      </w:r>
    </w:p>
    <w:p>
      <w:pPr>
        <w:rPr>
          <w:rFonts w:ascii="Bell MT" w:hAnsi="Bell MT" w:cs="Bell MT"/>
          <w:sz w:val="20"/>
          <w:szCs w:val="20"/>
        </w:rPr>
      </w:pPr>
    </w:p>
    <w:p>
      <w:pPr>
        <w:rPr>
          <w:rFonts w:ascii="Bell MT" w:hAnsi="Bell MT" w:cs="Bell MT"/>
          <w:sz w:val="20"/>
          <w:szCs w:val="20"/>
        </w:rPr>
      </w:pPr>
      <w:r>
        <w:rPr>
          <w:rFonts w:ascii="Bell MT" w:hAnsi="Bell MT" w:cs="Bell MT"/>
          <w:b w:val="0"/>
          <w:i w:val="0"/>
          <w:sz w:val="20"/>
        </w:rPr>
        <w:t xml:space="preserve">Side Notes: </w:t>
      </w:r>
    </w:p>
    <w:p>
      <w:pPr>
        <w:pStyle w:val="ListParagraph"/>
        <w:rPr>
          <w:rFonts w:ascii="Bell MT" w:hAnsi="Bell MT" w:cs="Bell MT"/>
          <w:sz w:val="20"/>
          <w:szCs w:val="20"/>
        </w:rPr>
        <w:numPr>
          <w:ilvl w:val="0"/>
          <w:numId w:val="3"/>
        </w:numPr>
      </w:pPr>
      <w:r>
        <w:rPr>
          <w:rFonts w:ascii="Bell MT" w:hAnsi="Bell MT" w:cs="Bell MT"/>
          <w:b/>
          <w:sz w:val="20"/>
        </w:rPr>
        <w:t>Normal x-rays can be misleading:</w:t>
      </w:r>
      <w:r>
        <w:rPr>
          <w:rFonts w:ascii="Bell MT" w:hAnsi="Bell MT" w:cs="Bell MT"/>
          <w:sz w:val="20"/>
        </w:rPr>
        <w:t xml:space="preserve"> A stress fracture can be present before it shows on x-ray. If the story and exam fit, we treat the patient, not just the image.</w:t>
      </w:r>
    </w:p>
    <w:p>
      <w:pPr>
        <w:pStyle w:val="ListParagraph"/>
        <w:rPr>
          <w:rFonts w:ascii="Bell MT" w:hAnsi="Bell MT" w:cs="Bell MT"/>
          <w:sz w:val="20"/>
          <w:szCs w:val="20"/>
        </w:rPr>
        <w:numPr>
          <w:ilvl w:val="0"/>
          <w:numId w:val="3"/>
        </w:numPr>
      </w:pPr>
      <w:r>
        <w:rPr>
          <w:rFonts w:ascii="Bell MT" w:hAnsi="Bell MT" w:cs="Bell MT"/>
          <w:b/>
          <w:sz w:val="20"/>
        </w:rPr>
        <w:t>Pain with every step is a warning:</w:t>
      </w:r>
      <w:r>
        <w:rPr>
          <w:rFonts w:ascii="Bell MT" w:hAnsi="Bell MT" w:cs="Bell MT"/>
          <w:sz w:val="20"/>
        </w:rPr>
        <w:t xml:space="preserve"> If walking itself hurts, the bone is not ready for exercise. This is the time to protect, not test it.</w:t>
      </w:r>
    </w:p>
    <w:p>
      <w:pPr>
        <w:pStyle w:val="ListParagraph"/>
        <w:rPr>
          <w:rFonts w:ascii="Bell MT" w:hAnsi="Bell MT" w:cs="Bell MT"/>
          <w:sz w:val="20"/>
          <w:szCs w:val="20"/>
        </w:rPr>
        <w:numPr>
          <w:ilvl w:val="0"/>
          <w:numId w:val="3"/>
        </w:numPr>
      </w:pPr>
      <w:r>
        <w:rPr>
          <w:rFonts w:ascii="Bell MT" w:hAnsi="Bell MT" w:cs="Bell MT"/>
          <w:b/>
          <w:sz w:val="20"/>
        </w:rPr>
        <w:t>Return to activity must be gradual:</w:t>
      </w:r>
      <w:r>
        <w:rPr>
          <w:rFonts w:ascii="Bell MT" w:hAnsi="Bell MT" w:cs="Bell MT"/>
          <w:sz w:val="20"/>
        </w:rPr>
        <w:t xml:space="preserve"> Once pain resolves, patients should not jump straight back to full running or training volume. That is one of the fastest ways to recreate the injury.</w:t>
      </w:r>
    </w:p>
    <w:p>
      <w:pPr>
        <w:rPr>
          <w:rFonts w:ascii="Bell MT" w:hAnsi="Bell MT" w:cs="Bell MT"/>
          <w:sz w:val="20"/>
          <w:szCs w:val="20"/>
        </w:rPr>
      </w:pPr>
    </w:p>
    <w:p>
      <w:pPr>
        <w:rPr>
          <w:rFonts w:ascii="Bell MT" w:hAnsi="Bell MT" w:cs="Bell MT"/>
        </w:rPr>
      </w:pPr>
      <w:r>
        <w:rPr>
          <w:rFonts w:ascii="Bell MT" w:hAnsi="Bell MT" w:cs="Bell MT"/>
          <w:b/>
          <w:i w:val="0"/>
        </w:rPr>
        <w:t>Stress Fracture Rules:</w:t>
      </w:r>
    </w:p>
    <w:p>
      <w:pPr>
        <w:pStyle w:val="ListParagraph"/>
        <w:rPr>
          <w:rFonts w:ascii="Bell MT" w:hAnsi="Bell MT" w:cs="Bell MT"/>
        </w:rPr>
        <w:numPr>
          <w:ilvl w:val="0"/>
          <w:numId w:val="5"/>
        </w:numPr>
      </w:pPr>
      <w:r>
        <w:rPr>
          <w:rFonts w:ascii="Bell MT" w:hAnsi="Bell MT" w:cs="Bell MT"/>
        </w:rPr>
        <w:t>Wear the boot or post-op shoe exactly as instructed.</w:t>
      </w:r>
    </w:p>
    <w:p>
      <w:pPr>
        <w:pStyle w:val="ListParagraph"/>
        <w:rPr>
          <w:rFonts w:ascii="Bell MT" w:hAnsi="Bell MT" w:cs="Bell MT"/>
        </w:rPr>
        <w:numPr>
          <w:ilvl w:val="0"/>
          <w:numId w:val="5"/>
        </w:numPr>
      </w:pPr>
      <w:r>
        <w:rPr>
          <w:rFonts w:ascii="Bell MT" w:hAnsi="Bell MT" w:cs="Bell MT"/>
        </w:rPr>
        <w:t>Do not run, jump, or perform impact exercise during the protected phase.</w:t>
      </w:r>
    </w:p>
    <w:p>
      <w:pPr>
        <w:pStyle w:val="ListParagraph"/>
        <w:rPr>
          <w:rFonts w:ascii="Bell MT" w:hAnsi="Bell MT" w:cs="Bell MT"/>
        </w:rPr>
        <w:numPr>
          <w:ilvl w:val="0"/>
          <w:numId w:val="5"/>
        </w:numPr>
      </w:pPr>
      <w:r>
        <w:rPr>
          <w:rFonts w:ascii="Bell MT" w:hAnsi="Bell MT" w:cs="Bell MT"/>
        </w:rPr>
        <w:t>Use crutches or a scooter if walking in the boot is still painful or if non-weightbearing was recommended.</w:t>
      </w:r>
    </w:p>
    <w:p>
      <w:pPr>
        <w:pStyle w:val="ListParagraph"/>
        <w:rPr>
          <w:rFonts w:ascii="Bell MT" w:hAnsi="Bell MT" w:cs="Bell MT"/>
        </w:rPr>
        <w:numPr>
          <w:ilvl w:val="0"/>
          <w:numId w:val="5"/>
        </w:numPr>
      </w:pPr>
      <w:r>
        <w:rPr>
          <w:rFonts w:ascii="Bell MT" w:hAnsi="Bell MT" w:cs="Bell MT"/>
        </w:rPr>
        <w:t>Expect repeat x-rays or MRI if symptoms are not improving as expected.</w:t>
      </w:r>
    </w:p>
    <w:p>
      <w:pPr>
        <w:pStyle w:val="ListParagraph"/>
        <w:rPr>
          <w:rFonts w:ascii="Bell MT" w:hAnsi="Bell MT" w:cs="Bell MT"/>
        </w:rPr>
        <w:numPr>
          <w:ilvl w:val="0"/>
          <w:numId w:val="5"/>
        </w:numPr>
      </w:pPr>
      <w:r>
        <w:rPr>
          <w:rFonts w:ascii="Bell MT" w:hAnsi="Bell MT" w:cs="Bell MT"/>
        </w:rPr>
        <w:t>Return to activity gradually only after pain has significantly improved and the office has cleared progression.</w:t>
      </w:r>
    </w:p>
    <w:p>
      <w:pPr>
        <w:pStyle w:val="ListParagraph"/>
        <w:rPr>
          <w:rFonts w:ascii="Bell MT" w:hAnsi="Bell MT" w:cs="Bell MT"/>
        </w:rPr>
        <w:numPr>
          <w:ilvl w:val="0"/>
          <w:numId w:val="5"/>
        </w:numPr>
      </w:pPr>
      <w:r>
        <w:rPr>
          <w:rFonts w:ascii="Bell MT" w:hAnsi="Bell MT" w:cs="Bell MT"/>
        </w:rPr>
        <w:t>Discuss vitamin D, nutrition, training changes, and shoe wear if this is recurrent or occurred with minimal activity.</w:t>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